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25B7" w14:textId="77777777" w:rsidR="002765F7" w:rsidRDefault="0063600A">
      <w:pPr>
        <w:jc w:val="center"/>
        <w:rPr>
          <w:b/>
          <w:bCs/>
          <w:sz w:val="34"/>
          <w:szCs w:val="34"/>
        </w:rPr>
      </w:pPr>
      <w:r>
        <w:rPr>
          <w:b/>
          <w:bCs/>
          <w:sz w:val="34"/>
          <w:szCs w:val="34"/>
        </w:rPr>
        <w:t xml:space="preserve"> SIMATS ENGINEERING</w:t>
      </w:r>
    </w:p>
    <w:p w14:paraId="1354B599" w14:textId="77777777" w:rsidR="002765F7" w:rsidRPr="0063600A" w:rsidRDefault="0063600A" w:rsidP="0063600A">
      <w:pPr>
        <w:jc w:val="center"/>
        <w:rPr>
          <w:b/>
          <w:bCs/>
          <w:sz w:val="28"/>
          <w:szCs w:val="28"/>
        </w:rPr>
      </w:pPr>
      <w:r>
        <w:rPr>
          <w:b/>
          <w:bCs/>
          <w:sz w:val="28"/>
          <w:szCs w:val="28"/>
        </w:rPr>
        <w:t>ASSESSMENT TOOL 1</w:t>
      </w:r>
    </w:p>
    <w:p w14:paraId="33C77970" w14:textId="77777777" w:rsidR="002765F7" w:rsidRDefault="002765F7">
      <w:pPr>
        <w:jc w:val="center"/>
        <w:rPr>
          <w:b/>
          <w:bCs/>
          <w:sz w:val="34"/>
          <w:szCs w:val="34"/>
        </w:rPr>
      </w:pPr>
    </w:p>
    <w:p w14:paraId="068A82C6" w14:textId="77777777" w:rsidR="002765F7" w:rsidRDefault="0063600A">
      <w:pPr>
        <w:rPr>
          <w:rFonts w:ascii="Arial" w:eastAsia="Arial" w:hAnsi="Arial" w:cs="Arial"/>
          <w:b/>
          <w:bCs/>
        </w:rPr>
      </w:pPr>
      <w:r>
        <w:rPr>
          <w:rFonts w:ascii="Arial" w:eastAsia="Arial" w:hAnsi="Arial" w:cs="Arial"/>
          <w:b/>
          <w:bCs/>
        </w:rPr>
        <w:t>COURSE NAME: COMPUTER NETWORKS</w:t>
      </w:r>
    </w:p>
    <w:p w14:paraId="0AC7AB8B" w14:textId="77777777" w:rsidR="002765F7" w:rsidRDefault="0063600A">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90C9D28" w14:textId="77777777" w:rsidR="002765F7" w:rsidRDefault="0063600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8852B4A" wp14:editId="77DA741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E2BF01"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2765F7" w:rsidRDefault="002765F7">
                      <w:pPr>
                        <w:textDirection w:val="btLr"/>
                      </w:pPr>
                    </w:p>
                  </w:txbxContent>
                </v:textbox>
                <w10:anchorlock/>
              </v:rect>
            </w:pict>
          </mc:Fallback>
        </mc:AlternateContent>
      </w:r>
    </w:p>
    <w:p w14:paraId="63F5E112" w14:textId="77777777" w:rsidR="002765F7" w:rsidRDefault="002765F7">
      <w:pPr>
        <w:rPr>
          <w:rFonts w:ascii="Arial" w:eastAsia="Arial" w:hAnsi="Arial" w:cs="Arial"/>
          <w:b/>
          <w:bCs/>
        </w:rPr>
      </w:pPr>
    </w:p>
    <w:p w14:paraId="6AC84BB3" w14:textId="77777777" w:rsidR="002765F7" w:rsidRDefault="0063600A">
      <w:pPr>
        <w:rPr>
          <w:rFonts w:ascii="Arial" w:eastAsia="Arial" w:hAnsi="Arial" w:cs="Arial"/>
          <w:b/>
          <w:bCs/>
        </w:rPr>
      </w:pPr>
      <w:r>
        <w:rPr>
          <w:rFonts w:ascii="Arial" w:eastAsia="Arial" w:hAnsi="Arial" w:cs="Arial"/>
          <w:b/>
          <w:bCs/>
        </w:rPr>
        <w:t>COURSE OUTCOME COVERED</w:t>
      </w:r>
    </w:p>
    <w:p w14:paraId="210CFBE7" w14:textId="77777777" w:rsidR="002765F7" w:rsidRDefault="002765F7">
      <w:pPr>
        <w:rPr>
          <w:rFonts w:ascii="Arial" w:eastAsia="Arial" w:hAnsi="Arial" w:cs="Arial"/>
          <w:b/>
          <w:bCs/>
        </w:rPr>
      </w:pPr>
    </w:p>
    <w:p w14:paraId="0A2899B9" w14:textId="77777777"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529E08A6" w14:textId="77777777" w:rsidR="002765F7" w:rsidRDefault="002765F7">
      <w:pPr>
        <w:rPr>
          <w:rFonts w:ascii="Arial" w:eastAsia="Arial" w:hAnsi="Arial" w:cs="Arial"/>
          <w:i/>
          <w:iCs/>
        </w:rPr>
      </w:pPr>
    </w:p>
    <w:p w14:paraId="13BEBC39" w14:textId="77777777" w:rsidR="002765F7" w:rsidRDefault="0063600A">
      <w:pPr>
        <w:rPr>
          <w:rFonts w:ascii="Arial" w:eastAsia="Arial" w:hAnsi="Arial" w:cs="Arial"/>
          <w:i/>
          <w:iCs/>
        </w:rPr>
      </w:pPr>
      <w:r>
        <w:rPr>
          <w:rFonts w:ascii="Arial" w:eastAsia="Arial" w:hAnsi="Arial" w:cs="Arial"/>
          <w:i/>
          <w:iCs/>
        </w:rPr>
        <w:t>Assessment Tool Weightage: 40%</w:t>
      </w:r>
    </w:p>
    <w:p w14:paraId="17478A1C" w14:textId="77777777" w:rsidR="002765F7" w:rsidRDefault="0063600A">
      <w:pPr>
        <w:rPr>
          <w:rFonts w:ascii="Arial" w:eastAsia="Arial" w:hAnsi="Arial" w:cs="Arial"/>
        </w:rPr>
      </w:pPr>
      <w:r>
        <w:rPr>
          <w:noProof/>
          <w:sz w:val="22"/>
          <w:szCs w:val="22"/>
        </w:rPr>
        <mc:AlternateContent>
          <mc:Choice Requires="wps">
            <w:drawing>
              <wp:inline distT="0" distB="0" distL="114300" distR="114300" wp14:anchorId="12A3CD9A" wp14:editId="3113588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58BD09B"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2765F7" w:rsidRDefault="002765F7">
                      <w:pPr>
                        <w:textDirection w:val="btLr"/>
                      </w:pPr>
                    </w:p>
                  </w:txbxContent>
                </v:textbox>
                <w10:anchorlock/>
              </v:rect>
            </w:pict>
          </mc:Fallback>
        </mc:AlternateContent>
      </w:r>
    </w:p>
    <w:p w14:paraId="2E8A1EE0" w14:textId="77777777" w:rsidR="002765F7" w:rsidRDefault="002765F7">
      <w:pPr>
        <w:rPr>
          <w:rFonts w:ascii="Arial" w:eastAsia="Arial" w:hAnsi="Arial" w:cs="Arial"/>
        </w:rPr>
      </w:pPr>
    </w:p>
    <w:p w14:paraId="68A27BC0" w14:textId="77777777" w:rsidR="008411F1" w:rsidRPr="002D7AE3" w:rsidRDefault="008411F1" w:rsidP="008411F1">
      <w:pPr>
        <w:rPr>
          <w:i/>
          <w:iCs/>
        </w:rPr>
      </w:pPr>
      <w:r w:rsidRPr="002D7AE3">
        <w:rPr>
          <w:i/>
          <w:iCs/>
        </w:rPr>
        <w:t>Code of Conduct:</w:t>
      </w:r>
    </w:p>
    <w:p w14:paraId="3C726285" w14:textId="77777777" w:rsidR="008411F1" w:rsidRPr="002D7AE3" w:rsidRDefault="008411F1" w:rsidP="008411F1">
      <w:pPr>
        <w:rPr>
          <w:i/>
          <w:iCs/>
        </w:rPr>
      </w:pPr>
    </w:p>
    <w:p w14:paraId="0B3A6621" w14:textId="77777777" w:rsidR="008411F1" w:rsidRPr="002D7AE3" w:rsidRDefault="008411F1" w:rsidP="008411F1">
      <w:pPr>
        <w:rPr>
          <w:i/>
          <w:iCs/>
        </w:rPr>
      </w:pPr>
      <w:r>
        <w:t>I Shaik Abdul Adnan (1972260084) certify that this submission is my original work</w:t>
      </w:r>
      <w:r>
        <w:br/>
        <w:t>and that I have adhered to the guidelines specified for this assessment.</w:t>
      </w:r>
      <w:r>
        <w:br/>
        <w:t>I understand that any violation of academic integrity rules will result in disciplinary action.</w:t>
      </w:r>
    </w:p>
    <w:p w14:paraId="5A6CC359" w14:textId="77777777" w:rsidR="008411F1" w:rsidRPr="002D7AE3" w:rsidRDefault="008411F1" w:rsidP="008411F1">
      <w:pPr>
        <w:rPr>
          <w:i/>
          <w:iCs/>
        </w:rPr>
      </w:pPr>
      <w:r w:rsidRPr="002D7AE3">
        <w:rPr>
          <w:i/>
          <w:iCs/>
        </w:rPr>
        <w:t>I understand that any violation of academic integrity rules will result in disciplinary action.</w:t>
      </w:r>
    </w:p>
    <w:p w14:paraId="198F127D" w14:textId="77777777" w:rsidR="008411F1" w:rsidRPr="002D7AE3" w:rsidRDefault="008411F1" w:rsidP="008411F1">
      <w:pPr>
        <w:rPr>
          <w:i/>
          <w:iCs/>
        </w:rPr>
      </w:pPr>
    </w:p>
    <w:p w14:paraId="20C50121" w14:textId="77777777" w:rsidR="008411F1" w:rsidRDefault="008411F1" w:rsidP="008411F1">
      <w:pPr>
        <w:rPr>
          <w:i/>
          <w:iCs/>
        </w:rPr>
      </w:pPr>
      <w:r w:rsidRPr="002D7AE3">
        <w:rPr>
          <w:i/>
          <w:iCs/>
        </w:rPr>
        <w:t>Signature of the student:</w:t>
      </w:r>
    </w:p>
    <w:p w14:paraId="40C91FE9" w14:textId="77777777" w:rsidR="008411F1" w:rsidRDefault="008411F1" w:rsidP="008411F1">
      <w:pPr>
        <w:rPr>
          <w:i/>
          <w:iCs/>
        </w:rPr>
      </w:pPr>
    </w:p>
    <w:tbl>
      <w:tblPr>
        <w:tblStyle w:val="a"/>
        <w:tblW w:w="10533" w:type="dxa"/>
        <w:jc w:val="center"/>
        <w:tblInd w:w="0" w:type="dxa"/>
        <w:tblLayout w:type="fixed"/>
        <w:tblLook w:val="0400" w:firstRow="0" w:lastRow="0" w:firstColumn="0" w:lastColumn="0" w:noHBand="0" w:noVBand="1"/>
      </w:tblPr>
      <w:tblGrid>
        <w:gridCol w:w="1755"/>
        <w:gridCol w:w="1755"/>
        <w:gridCol w:w="1755"/>
        <w:gridCol w:w="1756"/>
        <w:gridCol w:w="1756"/>
        <w:gridCol w:w="1756"/>
      </w:tblGrid>
      <w:tr w:rsidR="008411F1" w14:paraId="45023FAF" w14:textId="77777777" w:rsidTr="008411F1">
        <w:trPr>
          <w:cantSplit/>
          <w:trHeight w:val="567"/>
          <w:jc w:val="center"/>
        </w:trPr>
        <w:tc>
          <w:tcPr>
            <w:tcW w:w="175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EDA0E13" w14:textId="24A449E2" w:rsidR="008411F1" w:rsidRDefault="008411F1" w:rsidP="008411F1">
            <w:pPr>
              <w:pBdr>
                <w:top w:val="nil"/>
                <w:left w:val="nil"/>
                <w:bottom w:val="nil"/>
                <w:right w:val="nil"/>
                <w:between w:val="nil"/>
              </w:pBdr>
              <w:jc w:val="center"/>
              <w:rPr>
                <w:rFonts w:ascii="Arial" w:eastAsia="Arial" w:hAnsi="Arial" w:cs="Arial"/>
                <w:color w:val="000000"/>
              </w:rPr>
            </w:pPr>
            <w:r>
              <w:t>Criteria</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0E5AE657" w14:textId="4DB338F8" w:rsidR="008411F1" w:rsidRDefault="008411F1" w:rsidP="008411F1">
            <w:pPr>
              <w:pBdr>
                <w:top w:val="nil"/>
                <w:left w:val="nil"/>
                <w:bottom w:val="nil"/>
                <w:right w:val="nil"/>
                <w:between w:val="nil"/>
              </w:pBdr>
              <w:jc w:val="center"/>
              <w:rPr>
                <w:rFonts w:ascii="Arial" w:eastAsia="Arial" w:hAnsi="Arial" w:cs="Arial"/>
                <w:color w:val="000000"/>
              </w:rPr>
            </w:pPr>
            <w:r>
              <w:t>Weightage</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50435FC3"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Q1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43BD929B"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Q2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5AAE2B2F"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Q3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66BB92F9" w14:textId="77777777"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Q4 10marks</w:t>
            </w:r>
          </w:p>
        </w:tc>
      </w:tr>
      <w:tr w:rsidR="008411F1" w14:paraId="0914C634"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025205A1" w14:textId="6F9D6213"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Problem Understanding</w:t>
            </w:r>
          </w:p>
        </w:tc>
        <w:tc>
          <w:tcPr>
            <w:tcW w:w="1755" w:type="dxa"/>
            <w:tcBorders>
              <w:top w:val="nil"/>
              <w:left w:val="nil"/>
              <w:bottom w:val="single" w:sz="4" w:space="0" w:color="000000"/>
              <w:right w:val="single" w:sz="4" w:space="0" w:color="000000"/>
            </w:tcBorders>
            <w:vAlign w:val="center"/>
          </w:tcPr>
          <w:p w14:paraId="1FAE97EE" w14:textId="03C866E5"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14:paraId="08073FE9"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192B8BD6"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6A06171"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41C6F794"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3AC33CCD"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7D047FC5" w14:textId="3A201990"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Method Selection</w:t>
            </w:r>
          </w:p>
        </w:tc>
        <w:tc>
          <w:tcPr>
            <w:tcW w:w="1755" w:type="dxa"/>
            <w:tcBorders>
              <w:top w:val="nil"/>
              <w:left w:val="nil"/>
              <w:bottom w:val="single" w:sz="4" w:space="0" w:color="000000"/>
              <w:right w:val="single" w:sz="4" w:space="0" w:color="000000"/>
            </w:tcBorders>
            <w:vAlign w:val="center"/>
          </w:tcPr>
          <w:p w14:paraId="30A6A253" w14:textId="7C816FE4"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14:paraId="03AE2A70"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4B9ECDD3"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64AE7E7"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2AF5100"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0909F9FF"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6F00491B" w14:textId="0CAE8214"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Solution Process</w:t>
            </w:r>
          </w:p>
        </w:tc>
        <w:tc>
          <w:tcPr>
            <w:tcW w:w="1755" w:type="dxa"/>
            <w:tcBorders>
              <w:top w:val="nil"/>
              <w:left w:val="nil"/>
              <w:bottom w:val="single" w:sz="4" w:space="0" w:color="000000"/>
              <w:right w:val="single" w:sz="4" w:space="0" w:color="000000"/>
            </w:tcBorders>
            <w:vAlign w:val="center"/>
          </w:tcPr>
          <w:p w14:paraId="79017955" w14:textId="1DC103AC"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25%</w:t>
            </w:r>
          </w:p>
        </w:tc>
        <w:tc>
          <w:tcPr>
            <w:tcW w:w="1755" w:type="dxa"/>
            <w:tcBorders>
              <w:top w:val="nil"/>
              <w:left w:val="nil"/>
              <w:bottom w:val="single" w:sz="4" w:space="0" w:color="000000"/>
              <w:right w:val="single" w:sz="4" w:space="0" w:color="000000"/>
            </w:tcBorders>
            <w:vAlign w:val="center"/>
          </w:tcPr>
          <w:p w14:paraId="48989AB4"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173C9BA"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20EB258"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38DCC8A3"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3C76C5CB"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5EC86AE0" w14:textId="10B69F20"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Accuracy of Calculation</w:t>
            </w:r>
          </w:p>
        </w:tc>
        <w:tc>
          <w:tcPr>
            <w:tcW w:w="1755" w:type="dxa"/>
            <w:tcBorders>
              <w:top w:val="nil"/>
              <w:left w:val="nil"/>
              <w:bottom w:val="single" w:sz="4" w:space="0" w:color="000000"/>
              <w:right w:val="single" w:sz="4" w:space="0" w:color="000000"/>
            </w:tcBorders>
            <w:vAlign w:val="center"/>
          </w:tcPr>
          <w:p w14:paraId="49B8F8E7" w14:textId="49034699"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20%</w:t>
            </w:r>
          </w:p>
        </w:tc>
        <w:tc>
          <w:tcPr>
            <w:tcW w:w="1755" w:type="dxa"/>
            <w:tcBorders>
              <w:top w:val="nil"/>
              <w:left w:val="nil"/>
              <w:bottom w:val="single" w:sz="4" w:space="0" w:color="000000"/>
              <w:right w:val="single" w:sz="4" w:space="0" w:color="000000"/>
            </w:tcBorders>
            <w:vAlign w:val="center"/>
          </w:tcPr>
          <w:p w14:paraId="5831947A"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0119EF01"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AF2B54E"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C22572B"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r w:rsidR="008411F1" w14:paraId="4B1CFCB0" w14:textId="77777777" w:rsidTr="008411F1">
        <w:trPr>
          <w:cantSplit/>
          <w:trHeight w:val="567"/>
          <w:jc w:val="center"/>
        </w:trPr>
        <w:tc>
          <w:tcPr>
            <w:tcW w:w="1755" w:type="dxa"/>
            <w:tcBorders>
              <w:top w:val="nil"/>
              <w:left w:val="single" w:sz="4" w:space="0" w:color="000000"/>
              <w:bottom w:val="single" w:sz="4" w:space="0" w:color="000000"/>
              <w:right w:val="single" w:sz="4" w:space="0" w:color="000000"/>
            </w:tcBorders>
            <w:vAlign w:val="center"/>
          </w:tcPr>
          <w:p w14:paraId="338EC6ED" w14:textId="1DB8295C"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Interpretation of Results</w:t>
            </w:r>
          </w:p>
        </w:tc>
        <w:tc>
          <w:tcPr>
            <w:tcW w:w="1755" w:type="dxa"/>
            <w:tcBorders>
              <w:top w:val="nil"/>
              <w:left w:val="nil"/>
              <w:bottom w:val="single" w:sz="4" w:space="0" w:color="000000"/>
              <w:right w:val="single" w:sz="4" w:space="0" w:color="000000"/>
            </w:tcBorders>
            <w:vAlign w:val="center"/>
          </w:tcPr>
          <w:p w14:paraId="07724532" w14:textId="3D1776BA" w:rsidR="008411F1" w:rsidRDefault="008411F1" w:rsidP="008411F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sz w:val="22"/>
                <w:szCs w:val="22"/>
              </w:rPr>
              <w:t>15%</w:t>
            </w:r>
          </w:p>
        </w:tc>
        <w:tc>
          <w:tcPr>
            <w:tcW w:w="1755" w:type="dxa"/>
            <w:tcBorders>
              <w:top w:val="nil"/>
              <w:left w:val="nil"/>
              <w:bottom w:val="single" w:sz="4" w:space="0" w:color="000000"/>
              <w:right w:val="single" w:sz="4" w:space="0" w:color="000000"/>
            </w:tcBorders>
            <w:vAlign w:val="center"/>
          </w:tcPr>
          <w:p w14:paraId="45D55380"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23F12227"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74B80509" w14:textId="77777777" w:rsidR="008411F1" w:rsidRDefault="008411F1" w:rsidP="008411F1">
            <w:pPr>
              <w:pBdr>
                <w:top w:val="nil"/>
                <w:left w:val="nil"/>
                <w:bottom w:val="nil"/>
                <w:right w:val="nil"/>
                <w:between w:val="nil"/>
              </w:pBdr>
              <w:jc w:val="center"/>
              <w:rPr>
                <w:rFonts w:ascii="Arial" w:eastAsia="Arial" w:hAnsi="Arial" w:cs="Arial"/>
                <w:color w:val="000000"/>
              </w:rPr>
            </w:pPr>
          </w:p>
        </w:tc>
        <w:tc>
          <w:tcPr>
            <w:tcW w:w="1756" w:type="dxa"/>
            <w:tcBorders>
              <w:top w:val="nil"/>
              <w:left w:val="nil"/>
              <w:bottom w:val="single" w:sz="4" w:space="0" w:color="000000"/>
              <w:right w:val="single" w:sz="4" w:space="0" w:color="000000"/>
            </w:tcBorders>
            <w:vAlign w:val="center"/>
          </w:tcPr>
          <w:p w14:paraId="52A6266D" w14:textId="77777777" w:rsidR="008411F1" w:rsidRDefault="008411F1" w:rsidP="008411F1">
            <w:pPr>
              <w:pBdr>
                <w:top w:val="nil"/>
                <w:left w:val="nil"/>
                <w:bottom w:val="nil"/>
                <w:right w:val="nil"/>
                <w:between w:val="nil"/>
              </w:pBdr>
              <w:jc w:val="center"/>
              <w:rPr>
                <w:rFonts w:ascii="Arial" w:eastAsia="Arial" w:hAnsi="Arial" w:cs="Arial"/>
                <w:color w:val="000000"/>
              </w:rPr>
            </w:pPr>
          </w:p>
        </w:tc>
      </w:tr>
    </w:tbl>
    <w:p w14:paraId="5CB7FE16" w14:textId="77777777" w:rsidR="008411F1" w:rsidRDefault="008411F1" w:rsidP="008411F1">
      <w:pPr>
        <w:rPr>
          <w:i/>
          <w:iCs/>
        </w:rPr>
      </w:pPr>
    </w:p>
    <w:p w14:paraId="2CC17DE3" w14:textId="77777777" w:rsidR="008411F1" w:rsidRDefault="008411F1" w:rsidP="008411F1">
      <w:pPr>
        <w:rPr>
          <w:i/>
          <w:iCs/>
        </w:rPr>
      </w:pPr>
    </w:p>
    <w:p w14:paraId="2F27D9F1" w14:textId="77777777" w:rsidR="008411F1" w:rsidRDefault="008411F1" w:rsidP="008411F1">
      <w:pPr>
        <w:rPr>
          <w:i/>
          <w:iCs/>
        </w:rPr>
      </w:pPr>
    </w:p>
    <w:p w14:paraId="17813BDA" w14:textId="77777777" w:rsidR="008411F1" w:rsidRDefault="008411F1" w:rsidP="008411F1">
      <w:pPr>
        <w:rPr>
          <w:i/>
          <w:iCs/>
        </w:rPr>
      </w:pPr>
    </w:p>
    <w:p w14:paraId="199B6EFB" w14:textId="77777777" w:rsidR="008411F1" w:rsidRPr="00A82283" w:rsidRDefault="008411F1" w:rsidP="008411F1">
      <w:pPr>
        <w:rPr>
          <w:b/>
          <w:bCs/>
          <w:i/>
          <w:iCs/>
        </w:rPr>
      </w:pPr>
      <w:r>
        <w:rPr>
          <w:rFonts w:ascii="Arial" w:eastAsia="Arial" w:hAnsi="Arial" w:cs="Arial"/>
          <w:b/>
          <w:bCs/>
          <w:color w:val="000000"/>
        </w:rPr>
        <w:t xml:space="preserve">Total Marks </w:t>
      </w:r>
      <w:r>
        <w:rPr>
          <w:rFonts w:ascii="Arial" w:eastAsia="Arial" w:hAnsi="Arial" w:cs="Arial"/>
          <w:b/>
          <w:bCs/>
          <w:color w:val="000000"/>
        </w:rPr>
        <w:tab/>
      </w:r>
      <w:r>
        <w:rPr>
          <w:rFonts w:ascii="Arial" w:eastAsia="Arial" w:hAnsi="Arial" w:cs="Arial"/>
          <w:b/>
          <w:bCs/>
          <w:color w:val="000000"/>
        </w:rPr>
        <w:tab/>
        <w:t>/40</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sidRPr="00A82283">
        <w:rPr>
          <w:b/>
          <w:bCs/>
          <w:i/>
          <w:iCs/>
        </w:rPr>
        <w:t>Signature of the Faculty</w:t>
      </w:r>
    </w:p>
    <w:p w14:paraId="4833070E" w14:textId="77777777" w:rsidR="008411F1" w:rsidRDefault="008411F1">
      <w:pPr>
        <w:ind w:left="2880" w:firstLine="720"/>
        <w:rPr>
          <w:rFonts w:ascii="Arial" w:eastAsia="Arial" w:hAnsi="Arial" w:cs="Arial"/>
        </w:rPr>
      </w:pPr>
    </w:p>
    <w:p w14:paraId="04203FF7" w14:textId="77777777" w:rsidR="008411F1" w:rsidRDefault="008411F1">
      <w:pPr>
        <w:ind w:left="2880" w:firstLine="720"/>
        <w:rPr>
          <w:rFonts w:ascii="Arial" w:eastAsia="Arial" w:hAnsi="Arial" w:cs="Arial"/>
        </w:rPr>
      </w:pPr>
    </w:p>
    <w:p w14:paraId="69FA76BC" w14:textId="77777777" w:rsidR="008411F1" w:rsidRDefault="008411F1">
      <w:pPr>
        <w:ind w:left="2880" w:firstLine="720"/>
        <w:rPr>
          <w:rFonts w:ascii="Arial" w:eastAsia="Arial" w:hAnsi="Arial" w:cs="Arial"/>
        </w:rPr>
      </w:pPr>
    </w:p>
    <w:p w14:paraId="3B7643CC" w14:textId="77777777" w:rsidR="008411F1" w:rsidRDefault="008411F1">
      <w:pPr>
        <w:ind w:left="2880" w:firstLine="720"/>
        <w:rPr>
          <w:rFonts w:ascii="Arial" w:eastAsia="Arial" w:hAnsi="Arial" w:cs="Arial"/>
        </w:rPr>
      </w:pPr>
    </w:p>
    <w:p w14:paraId="67B1FB61" w14:textId="77777777" w:rsidR="008411F1" w:rsidRDefault="008411F1">
      <w:pPr>
        <w:ind w:left="2880" w:firstLine="720"/>
        <w:rPr>
          <w:rFonts w:ascii="Arial" w:eastAsia="Arial" w:hAnsi="Arial" w:cs="Arial"/>
        </w:rPr>
      </w:pPr>
    </w:p>
    <w:p w14:paraId="1DA1B9D5" w14:textId="77777777" w:rsidR="008411F1" w:rsidRDefault="008411F1">
      <w:pPr>
        <w:ind w:left="2880" w:firstLine="720"/>
        <w:rPr>
          <w:rFonts w:ascii="Arial" w:eastAsia="Arial" w:hAnsi="Arial" w:cs="Arial"/>
        </w:rPr>
      </w:pPr>
    </w:p>
    <w:p w14:paraId="4D34E9E6" w14:textId="77777777" w:rsidR="008411F1" w:rsidRDefault="008411F1">
      <w:pPr>
        <w:ind w:left="2880" w:firstLine="720"/>
        <w:rPr>
          <w:rFonts w:ascii="Arial" w:eastAsia="Arial" w:hAnsi="Arial" w:cs="Arial"/>
        </w:rPr>
      </w:pPr>
    </w:p>
    <w:p w14:paraId="07A5C993" w14:textId="77777777" w:rsidR="008411F1" w:rsidRDefault="008411F1">
      <w:pPr>
        <w:ind w:left="2880" w:firstLine="720"/>
        <w:rPr>
          <w:rFonts w:ascii="Arial" w:eastAsia="Arial" w:hAnsi="Arial" w:cs="Arial"/>
        </w:rPr>
      </w:pPr>
    </w:p>
    <w:p w14:paraId="7A26585A" w14:textId="77777777" w:rsidR="008411F1" w:rsidRDefault="008411F1">
      <w:pPr>
        <w:ind w:left="2880" w:firstLine="720"/>
        <w:rPr>
          <w:rFonts w:ascii="Arial" w:eastAsia="Arial" w:hAnsi="Arial" w:cs="Arial"/>
        </w:rPr>
      </w:pPr>
    </w:p>
    <w:p w14:paraId="03CF54E4" w14:textId="3A040B51" w:rsidR="002765F7" w:rsidRDefault="0063600A">
      <w:pPr>
        <w:ind w:left="2880" w:firstLine="720"/>
        <w:rPr>
          <w:rFonts w:ascii="Arial" w:eastAsia="Arial" w:hAnsi="Arial" w:cs="Arial"/>
        </w:rPr>
      </w:pPr>
      <w:r>
        <w:rPr>
          <w:rFonts w:ascii="Arial" w:eastAsia="Arial" w:hAnsi="Arial" w:cs="Arial"/>
        </w:rPr>
        <w:t>Annexure A</w:t>
      </w:r>
    </w:p>
    <w:p w14:paraId="43F85651" w14:textId="77777777"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91430B4" w14:textId="77777777" w:rsidR="002765F7" w:rsidRDefault="0063600A">
      <w:pPr>
        <w:jc w:val="center"/>
        <w:rPr>
          <w:b/>
          <w:bCs/>
          <w:sz w:val="34"/>
          <w:szCs w:val="34"/>
        </w:rPr>
      </w:pPr>
      <w:r>
        <w:rPr>
          <w:b/>
          <w:bCs/>
          <w:sz w:val="28"/>
          <w:szCs w:val="28"/>
        </w:rPr>
        <w:t>ANALYTICAL PROBLEM SOLVING</w:t>
      </w:r>
    </w:p>
    <w:p w14:paraId="069D239D" w14:textId="77777777" w:rsidR="002765F7" w:rsidRDefault="002765F7">
      <w:pPr>
        <w:jc w:val="both"/>
        <w:rPr>
          <w:rFonts w:ascii="Arial" w:eastAsia="Arial" w:hAnsi="Arial" w:cs="Arial"/>
          <w:color w:val="000000"/>
        </w:rPr>
      </w:pPr>
    </w:p>
    <w:p w14:paraId="556BF6AE" w14:textId="77777777"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29E35757" w14:textId="77777777" w:rsidR="002765F7" w:rsidRDefault="002765F7">
      <w:pPr>
        <w:pBdr>
          <w:top w:val="nil"/>
          <w:left w:val="nil"/>
          <w:bottom w:val="nil"/>
          <w:right w:val="nil"/>
          <w:between w:val="nil"/>
        </w:pBdr>
        <w:jc w:val="both"/>
        <w:rPr>
          <w:color w:val="000000"/>
          <w:sz w:val="28"/>
          <w:szCs w:val="28"/>
        </w:rPr>
      </w:pPr>
    </w:p>
    <w:p w14:paraId="119A6E30"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2.</w:t>
      </w:r>
      <w:r>
        <w:rPr>
          <w:color w:val="000000"/>
        </w:rPr>
        <w:t xml:space="preserve"> </w:t>
      </w:r>
      <w:r>
        <w:rPr>
          <w:color w:val="000000"/>
          <w:sz w:val="28"/>
          <w:szCs w:val="28"/>
        </w:rPr>
        <w:t>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host addresses available in each subnet.</w:t>
      </w:r>
    </w:p>
    <w:p w14:paraId="6C81E926"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ab/>
      </w:r>
      <w:r>
        <w:rPr>
          <w:b/>
          <w:bCs/>
          <w:color w:val="000000"/>
          <w:sz w:val="28"/>
          <w:szCs w:val="28"/>
        </w:rPr>
        <w:t xml:space="preserve">               </w:t>
      </w:r>
    </w:p>
    <w:p w14:paraId="4EDA3C1B" w14:textId="77777777"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 xml:space="preserve">3. An organization has been allocated the IP block </w:t>
      </w:r>
      <w:r>
        <w:rPr>
          <w:b/>
          <w:bCs/>
          <w:color w:val="000000"/>
          <w:sz w:val="28"/>
          <w:szCs w:val="28"/>
        </w:rPr>
        <w:t>172.16.0.0/16</w:t>
      </w:r>
      <w:sdt>
        <w:sdtPr>
          <w:tag w:val="goog_rdk_0"/>
          <w:id w:val="1704253671"/>
        </w:sdtPr>
        <w:sdtContent>
          <w:r>
            <w:rPr>
              <w:rFonts w:ascii="Cardo" w:eastAsia="Cardo" w:hAnsi="Cardo" w:cs="Cardo"/>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w:t>
          </w:r>
          <w:r>
            <w:rPr>
              <w:rFonts w:ascii="Cardo" w:eastAsia="Cardo" w:hAnsi="Cardo" w:cs="Cardo"/>
              <w:color w:val="000000"/>
              <w:sz w:val="28"/>
              <w:szCs w:val="28"/>
            </w:rPr>
            <w:lastRenderedPageBreak/>
            <w:t>Finally, identify the remaining unused IP address range within the given network block.</w:t>
          </w:r>
        </w:sdtContent>
      </w:sdt>
    </w:p>
    <w:p w14:paraId="2540C7D4"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 xml:space="preserve">4. A company uses the IP address </w:t>
      </w:r>
      <w:r>
        <w:rPr>
          <w:b/>
          <w:bCs/>
          <w:color w:val="000000"/>
          <w:sz w:val="28"/>
          <w:szCs w:val="28"/>
        </w:rPr>
        <w:t>172.16.10.0/24</w:t>
      </w:r>
      <w:r>
        <w:rPr>
          <w:color w:val="000000"/>
          <w:sz w:val="28"/>
          <w:szCs w:val="28"/>
        </w:rPr>
        <w:t xml:space="preserve"> and has implemented subnetting using a </w:t>
      </w:r>
      <w:r>
        <w:rPr>
          <w:b/>
          <w:bCs/>
          <w:color w:val="000000"/>
          <w:sz w:val="28"/>
          <w:szCs w:val="28"/>
        </w:rPr>
        <w:t>/27 subnet mask</w:t>
      </w:r>
      <w:r>
        <w:rPr>
          <w:color w:val="000000"/>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Pr>
          <w:b/>
          <w:bCs/>
          <w:color w:val="000000"/>
          <w:sz w:val="28"/>
          <w:szCs w:val="28"/>
        </w:rPr>
        <w:t>172.16.10.78</w:t>
      </w:r>
      <w:r>
        <w:rPr>
          <w:color w:val="000000"/>
          <w:sz w:val="28"/>
          <w:szCs w:val="28"/>
        </w:rPr>
        <w:t xml:space="preserve"> belongs. Identify the network address and broadcast address for that subnet. Also, determine whether the IP address </w:t>
      </w:r>
      <w:r>
        <w:rPr>
          <w:b/>
          <w:bCs/>
          <w:color w:val="000000"/>
          <w:sz w:val="28"/>
          <w:szCs w:val="28"/>
        </w:rPr>
        <w:t>172.16.10.95</w:t>
      </w:r>
      <w:r>
        <w:rPr>
          <w:color w:val="000000"/>
          <w:sz w:val="28"/>
          <w:szCs w:val="28"/>
        </w:rPr>
        <w:t xml:space="preserve"> falls within the same subnet range based on the given configuration.</w:t>
      </w:r>
    </w:p>
    <w:p w14:paraId="413ED8B2" w14:textId="77777777" w:rsidR="002765F7" w:rsidRDefault="002765F7">
      <w:pPr>
        <w:pBdr>
          <w:top w:val="nil"/>
          <w:left w:val="nil"/>
          <w:bottom w:val="nil"/>
          <w:right w:val="nil"/>
          <w:between w:val="nil"/>
        </w:pBdr>
        <w:spacing w:line="360" w:lineRule="auto"/>
        <w:jc w:val="both"/>
        <w:rPr>
          <w:color w:val="000000"/>
          <w:sz w:val="28"/>
          <w:szCs w:val="28"/>
        </w:rPr>
      </w:pPr>
    </w:p>
    <w:p w14:paraId="230C05D9"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5.</w:t>
      </w:r>
      <w:r>
        <w:rPr>
          <w:sz w:val="16"/>
          <w:szCs w:val="16"/>
        </w:rPr>
        <w:t xml:space="preserve"> </w:t>
      </w:r>
      <w:r>
        <w:rPr>
          <w:color w:val="000000"/>
          <w:sz w:val="28"/>
          <w:szCs w:val="28"/>
        </w:rPr>
        <w:t xml:space="preserve">A network uses the Internet Protocol </w:t>
      </w:r>
      <w:r>
        <w:rPr>
          <w:sz w:val="28"/>
          <w:szCs w:val="28"/>
        </w:rPr>
        <w:t>version 6</w:t>
      </w:r>
      <w:r>
        <w:rPr>
          <w:color w:val="000000"/>
          <w:sz w:val="28"/>
          <w:szCs w:val="28"/>
        </w:rPr>
        <w:t xml:space="preserve"> address </w:t>
      </w:r>
      <w:r>
        <w:rPr>
          <w:b/>
          <w:bCs/>
          <w:color w:val="000000"/>
          <w:sz w:val="28"/>
          <w:szCs w:val="28"/>
        </w:rPr>
        <w:t>2001:0db8:0000:0000:0000:ff00:0042:8329</w:t>
      </w:r>
      <w:r>
        <w:rPr>
          <w:color w:val="000000"/>
          <w:sz w:val="28"/>
          <w:szCs w:val="28"/>
        </w:rPr>
        <w:t xml:space="preserve">. Apply IPv6 addressing rules to compress the given address into its shortest form and then expand the compressed address back to its full notation. Using a prefix length of </w:t>
      </w:r>
      <w:r>
        <w:rPr>
          <w:b/>
          <w:bCs/>
          <w:color w:val="000000"/>
          <w:sz w:val="28"/>
          <w:szCs w:val="28"/>
        </w:rPr>
        <w:t>/64</w:t>
      </w:r>
      <w:r>
        <w:rPr>
          <w:color w:val="000000"/>
          <w:sz w:val="28"/>
          <w:szCs w:val="28"/>
        </w:rPr>
        <w:t>, determine the network prefix of the given address. Also, calculate the total number of possible host addresses available within this network based on the given prefix length.</w:t>
      </w:r>
    </w:p>
    <w:p w14:paraId="1F491FDD" w14:textId="77777777" w:rsidR="002765F7" w:rsidRDefault="002765F7">
      <w:pPr>
        <w:pBdr>
          <w:top w:val="nil"/>
          <w:left w:val="nil"/>
          <w:bottom w:val="nil"/>
          <w:right w:val="nil"/>
          <w:between w:val="nil"/>
        </w:pBdr>
        <w:spacing w:line="360" w:lineRule="auto"/>
        <w:jc w:val="both"/>
        <w:rPr>
          <w:rFonts w:ascii="Arial" w:eastAsia="Arial" w:hAnsi="Arial" w:cs="Arial"/>
          <w:b/>
          <w:bCs/>
          <w:color w:val="000000"/>
        </w:rPr>
      </w:pPr>
    </w:p>
    <w:p w14:paraId="53582671"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1230EB57" w14:textId="77777777"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79C121D9" w14:textId="77777777"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14:paraId="6C51533C"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3C7959" w14:textId="77777777" w:rsidR="002765F7" w:rsidRDefault="0063600A">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0807F406" w14:textId="77777777" w:rsidR="002765F7" w:rsidRDefault="0063600A"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34292F7F" w14:textId="77777777"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2B0FEBA6" w14:textId="77777777"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1CD00C98" w14:textId="77777777"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747FF7C6" w14:textId="77777777" w:rsidR="002765F7" w:rsidRDefault="0063600A" w:rsidP="0063600A">
            <w:pPr>
              <w:jc w:val="center"/>
            </w:pPr>
            <w:r>
              <w:t>Level 1 (Beginning)</w:t>
            </w:r>
          </w:p>
        </w:tc>
      </w:tr>
      <w:tr w:rsidR="002765F7" w14:paraId="4B9FED18"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06F3276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14:paraId="393B3E9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30DDB63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44A564F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14:paraId="181FBFB6"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14:paraId="150A6A6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14:paraId="034C6AD3"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5157941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14:paraId="27D96FE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5BA5DAA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04C3648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14:paraId="56F3AF8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14:paraId="5DA0F7B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14:paraId="27ADF125"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5AAC25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lastRenderedPageBreak/>
              <w:t>Solution Process</w:t>
            </w:r>
          </w:p>
        </w:tc>
        <w:tc>
          <w:tcPr>
            <w:tcW w:w="1303" w:type="dxa"/>
            <w:tcBorders>
              <w:top w:val="nil"/>
              <w:left w:val="nil"/>
              <w:bottom w:val="single" w:sz="4" w:space="0" w:color="000000"/>
              <w:right w:val="single" w:sz="4" w:space="0" w:color="000000"/>
            </w:tcBorders>
            <w:vAlign w:val="center"/>
          </w:tcPr>
          <w:p w14:paraId="22EF865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14:paraId="5A0086B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613C607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14:paraId="644E5E9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14:paraId="2D90D0F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14:paraId="2A861D18"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5708E89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14:paraId="0BD0B68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60F6938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14:paraId="6E85CCD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14:paraId="1E108CE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14:paraId="7BF96AE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14:paraId="51B9409C"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7616F62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14:paraId="69EE77E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14:paraId="7C7BDB2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14:paraId="36940E8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14:paraId="68FE78C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14:paraId="056D6B4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4AF074E4" w14:textId="77777777" w:rsidR="002765F7" w:rsidRDefault="002765F7">
      <w:pPr>
        <w:pBdr>
          <w:top w:val="nil"/>
          <w:left w:val="nil"/>
          <w:bottom w:val="nil"/>
          <w:right w:val="nil"/>
          <w:between w:val="nil"/>
        </w:pBdr>
        <w:jc w:val="both"/>
        <w:rPr>
          <w:rFonts w:ascii="Arial" w:eastAsia="Arial" w:hAnsi="Arial" w:cs="Arial"/>
          <w:color w:val="000000"/>
        </w:rPr>
      </w:pPr>
    </w:p>
    <w:p w14:paraId="05C12EF7" w14:textId="77777777" w:rsidR="002765F7" w:rsidRDefault="002765F7">
      <w:pPr>
        <w:ind w:left="1440" w:firstLine="720"/>
      </w:pPr>
    </w:p>
    <w:p w14:paraId="5F336EEE" w14:textId="77777777" w:rsidR="002765F7" w:rsidRDefault="002765F7">
      <w:pPr>
        <w:rPr>
          <w:color w:val="000000"/>
        </w:rPr>
      </w:pPr>
    </w:p>
    <w:p w14:paraId="533378F3" w14:textId="77777777" w:rsidR="002765F7" w:rsidRDefault="002765F7">
      <w:pPr>
        <w:jc w:val="center"/>
        <w:rPr>
          <w:b/>
          <w:bCs/>
          <w:sz w:val="34"/>
          <w:szCs w:val="34"/>
        </w:rPr>
      </w:pPr>
    </w:p>
    <w:p w14:paraId="78B3EFF8" w14:textId="77777777" w:rsidR="002765F7" w:rsidRDefault="002765F7">
      <w:pPr>
        <w:jc w:val="center"/>
        <w:rPr>
          <w:b/>
          <w:bCs/>
          <w:sz w:val="34"/>
          <w:szCs w:val="34"/>
        </w:rPr>
      </w:pPr>
    </w:p>
    <w:p w14:paraId="2A09FA4D" w14:textId="77777777" w:rsidR="002765F7" w:rsidRDefault="002765F7">
      <w:pPr>
        <w:jc w:val="center"/>
        <w:rPr>
          <w:b/>
          <w:bCs/>
          <w:sz w:val="34"/>
          <w:szCs w:val="34"/>
        </w:rPr>
      </w:pPr>
    </w:p>
    <w:p w14:paraId="5BD42387" w14:textId="77777777" w:rsidR="002765F7" w:rsidRDefault="002765F7">
      <w:pPr>
        <w:jc w:val="center"/>
        <w:rPr>
          <w:b/>
          <w:bCs/>
          <w:sz w:val="34"/>
          <w:szCs w:val="34"/>
        </w:rPr>
      </w:pPr>
    </w:p>
    <w:p w14:paraId="7463DDC9" w14:textId="77777777" w:rsidR="002765F7" w:rsidRDefault="002765F7">
      <w:pPr>
        <w:jc w:val="center"/>
        <w:rPr>
          <w:b/>
          <w:bCs/>
          <w:sz w:val="34"/>
          <w:szCs w:val="34"/>
        </w:rPr>
      </w:pPr>
    </w:p>
    <w:p w14:paraId="36406FDE" w14:textId="77777777" w:rsidR="002765F7" w:rsidRDefault="002765F7">
      <w:pPr>
        <w:jc w:val="center"/>
        <w:rPr>
          <w:b/>
          <w:bCs/>
          <w:sz w:val="34"/>
          <w:szCs w:val="34"/>
        </w:rPr>
      </w:pPr>
    </w:p>
    <w:p w14:paraId="61105743" w14:textId="77777777" w:rsidR="002765F7" w:rsidRDefault="002765F7">
      <w:pPr>
        <w:jc w:val="center"/>
        <w:rPr>
          <w:b/>
          <w:bCs/>
          <w:sz w:val="34"/>
          <w:szCs w:val="34"/>
        </w:rPr>
      </w:pPr>
    </w:p>
    <w:p w14:paraId="4AF08759" w14:textId="77777777" w:rsidR="002765F7" w:rsidRDefault="002765F7">
      <w:pPr>
        <w:jc w:val="center"/>
        <w:rPr>
          <w:b/>
          <w:bCs/>
          <w:sz w:val="34"/>
          <w:szCs w:val="34"/>
        </w:rPr>
      </w:pPr>
    </w:p>
    <w:p>
      <w:r>
        <w:br w:type="page"/>
      </w:r>
    </w:p>
    <w:p>
      <w:pPr>
        <w:jc w:val="center"/>
      </w:pPr>
      <w:r>
        <w:rPr>
          <w:b/>
          <w:sz w:val="28"/>
        </w:rPr>
        <w:t>ANSWERS – ANALYTICAL PROBLEM SOLVING</w:t>
      </w:r>
    </w:p>
    <w:p>
      <w:r>
        <w:rPr>
          <w:b/>
          <w:sz w:val="24"/>
        </w:rPr>
        <w:t>Question 1: Subnetting the 192.168.20.0/24 Network</w:t>
      </w:r>
    </w:p>
    <w:p>
      <w:pPr>
        <w:spacing w:after="100"/>
      </w:pPr>
      <w:r>
        <w:t>Given network: 192.168.20.0/24. The network has 256 total addresses. The labs require /26, /27 and /28 subnets. The usable host count is calculated by 2^h − 2, where h is the number of host bits; two addresses are reserved for the network and broadcast addresses.</w:t>
      </w:r>
    </w:p>
    <w:p>
      <w:pPr>
        <w:spacing w:after="100"/>
      </w:pPr>
      <w:r>
        <w:t>Lab A – /26: A /26 prefix leaves 32 − 26 = 6 host bits. The subnet mask is 255.255.255.192 and the block size is 256 − 192 = 64 addresses. Assign 192.168.20.0/26. Network address: 192.168.20.0. Valid host range: 192.168.20.1 to 192.168.20.62. Broadcast address: 192.168.20.63. Total addresses = 2^6 = 64; usable hosts = 64 − 2 = 62.</w:t>
      </w:r>
    </w:p>
    <w:p>
      <w:pPr>
        <w:spacing w:after="100"/>
      </w:pPr>
      <w:r>
        <w:t>Lab B – /27: A /27 prefix leaves 5 host bits. The subnet mask is 255.255.255.224 and the block size is 32. The next correctly aligned subnet after Lab A is 192.168.20.64/27. Network address: 192.168.20.64. Valid host range: 192.168.20.65 to 192.168.20.94. Broadcast address: 192.168.20.95. Total addresses = 2^5 = 32; usable hosts = 32 − 2 = 30.</w:t>
      </w:r>
    </w:p>
    <w:p>
      <w:pPr>
        <w:spacing w:after="100"/>
      </w:pPr>
      <w:r>
        <w:t>Lab C – /28: A /28 prefix leaves 4 host bits. The subnet mask is 255.255.255.240 and the block size is 16. Assign 192.168.20.96/28. Network address: 192.168.20.96. Valid host range: 192.168.20.97 to 192.168.20.110. Broadcast address: 192.168.20.111. Total addresses = 2^4 = 16; usable hosts = 16 − 2 = 14.</w:t>
      </w:r>
    </w:p>
    <w:p>
      <w:pPr>
        <w:spacing w:after="100"/>
      </w:pPr>
      <w:r>
        <w:t>Therefore, the three non-overlapping subnets use 64 + 32 + 16 = 112 addresses in total. The remaining portion of the /24 block begins at 192.168.20.112. Each subnet boundary is aligned to its block size, so the labs can communicate within their assigned ranges without overlapping address allocations.</w:t>
      </w:r>
    </w:p>
    <w:p>
      <w:r>
        <w:rPr>
          <w:b/>
          <w:sz w:val="24"/>
        </w:rPr>
        <w:t>Question 2: Identifying the Subnets of Two Systems</w:t>
      </w:r>
    </w:p>
    <w:p>
      <w:pPr>
        <w:spacing w:after="100"/>
      </w:pPr>
      <w:r>
        <w:t>Both systems use subnet mask 255.255.255.192. This mask is /26 because the first 26 bits are network bits. There are 6 host bits, so each subnet contains 2^6 = 64 total addresses and 64 − 2 = 62 usable host addresses. The block size in the last octet is 256 − 192 = 64.</w:t>
      </w:r>
    </w:p>
    <w:p>
      <w:pPr>
        <w:spacing w:after="100"/>
      </w:pPr>
      <w:r>
        <w:t>The /26 subnet ranges in the 192.168.1.x network are .0–.63, .64–.127, .128–.191 and .192–.255. System 1, 192.168.1.130, falls in the .128–.191 block. Its network address is 192.168.1.128, valid host range is 192.168.1.129–192.168.1.190, and broadcast address is 192.168.1.191.</w:t>
      </w:r>
    </w:p>
    <w:p>
      <w:pPr>
        <w:spacing w:after="100"/>
      </w:pPr>
      <w:r>
        <w:t>System 2, 192.168.1.190, also falls in the .128–.191 block. Its network address is 192.168.1.128, valid host range is 192.168.1.129–192.168.1.190, and broadcast address is 192.168.1.191. Both configured IP addresses are valid host addresses in this same subnet; .190 is the last usable host address, immediately before the broadcast address.</w:t>
      </w:r>
    </w:p>
    <w:p>
      <w:pPr>
        <w:spacing w:after="100"/>
      </w:pPr>
      <w:r>
        <w:t>Conclusion: the two systems are on the same 192.168.1.128/26 subnet. Each subnet of this size supports 62 usable host addresses. Since both addresses belong to the same subnet, they can communicate directly at the IP subnet level, assuming their interface settings and other network configurations are correct.</w:t>
      </w:r>
    </w:p>
    <w:p>
      <w:r>
        <w:rPr>
          <w:b/>
          <w:sz w:val="24"/>
        </w:rPr>
        <w:t>Question 3: Department Subnet Allocation in 172.16.0.0/16</w:t>
      </w:r>
    </w:p>
    <w:p>
      <w:pPr>
        <w:spacing w:after="100"/>
      </w:pPr>
      <w:r>
        <w:t>The allocated network is 172.16.0.0/16. The departments require different subnet sizes. For each prefix, the number of host bits is 32 minus the prefix length, and usable hosts equal 2^h − 2. To avoid overlap, each subnet is assigned at the next valid boundary after the previous allocation.</w:t>
      </w:r>
    </w:p>
    <w:p>
      <w:pPr>
        <w:spacing w:after="100"/>
      </w:pPr>
      <w:r>
        <w:t>HR – /25: The mask is 255.255.255.128, leaving 7 host bits. Assign 172.16.0.0/25. Network address: 172.16.0.0. Valid hosts: 172.16.0.1–172.16.0.126. Broadcast: 172.16.0.127. Total addresses: 128; usable hosts: 126.</w:t>
      </w:r>
    </w:p>
    <w:p>
      <w:pPr>
        <w:spacing w:after="100"/>
      </w:pPr>
      <w:r>
        <w:t>Sales – /26: The mask is 255.255.255.192, leaving 6 host bits. Assign the next aligned subnet, 172.16.0.128/26. Network address: 172.16.0.128. Valid hosts: 172.16.0.129–172.16.0.190. Broadcast: 172.16.0.191. Total addresses: 64; usable hosts: 62.</w:t>
      </w:r>
    </w:p>
    <w:p>
      <w:pPr>
        <w:spacing w:after="100"/>
      </w:pPr>
      <w:r>
        <w:t>IT – /27: The mask is 255.255.255.224, leaving 5 host bits. Assign 172.16.0.192/27. Network address: 172.16.0.192. Valid hosts: 172.16.0.193–172.16.0.222. Broadcast: 172.16.0.223. Total addresses: 32; usable hosts: 30.</w:t>
      </w:r>
    </w:p>
    <w:p>
      <w:pPr>
        <w:spacing w:after="100"/>
      </w:pPr>
      <w:r>
        <w:t>Admin – /28: The mask is 255.255.255.240, leaving 4 host bits. Assign 172.16.0.224/28. Network address: 172.16.0.224. Valid hosts: 172.16.0.225–172.16.0.238. Broadcast: 172.16.0.239. Total addresses: 16; usable hosts: 14.</w:t>
      </w:r>
    </w:p>
    <w:p>
      <w:pPr>
        <w:spacing w:after="100"/>
      </w:pPr>
      <w:r>
        <w:t>The assigned subnets consume 128 + 64 + 32 + 16 = 240 addresses, from 172.16.0.0 through 172.16.0.239. The remaining unused range is 172.16.0.240 through 172.16.255.255 within the original /16 block. This is the continuous remainder after the four allocations; it can be divided into smaller subnets later as the organization grows.</w:t>
      </w:r>
    </w:p>
    <w:p>
      <w:r>
        <w:rPr>
          <w:b/>
          <w:sz w:val="24"/>
        </w:rPr>
        <w:t>Question 4: /27 Subnetting of 172.16.10.0/24</w:t>
      </w:r>
    </w:p>
    <w:p>
      <w:pPr>
        <w:spacing w:after="100"/>
      </w:pPr>
      <w:r>
        <w:t>The original network is 172.16.10.0/24 and the new prefix is /27. Three bits are borrowed from the 8 host bits of the /24 network, so the number of subnets is 2^3 = 8. The /27 mask is 255.255.255.224, giving a block size of 256 − 224 = 32 addresses in the last octet.</w:t>
      </w:r>
    </w:p>
    <w:p>
      <w:pPr>
        <w:spacing w:after="100"/>
      </w:pPr>
      <w:r>
        <w:t>Each /27 subnet has 32 total addresses. The number of host bits is 32 − 27 = 5, so usable hosts per subnet are 2^5 − 2 = 30. The eight subnet network addresses are 172.16.10.0, .32, .64, .96, .128, .160, .192 and .224.</w:t>
      </w:r>
    </w:p>
    <w:p>
      <w:pPr>
        <w:spacing w:after="100"/>
      </w:pPr>
      <w:r>
        <w:t>To find the subnet for 172.16.10.78, compare the last octet with the 32-address blocks. The address 78 lies between 64 and 95, so it belongs to 172.16.10.64/27. Network address: 172.16.10.64. Valid host range: 172.16.10.65–172.16.10.94. Broadcast address: 172.16.10.95.</w:t>
      </w:r>
    </w:p>
    <w:p>
      <w:pPr>
        <w:spacing w:after="100"/>
      </w:pPr>
      <w:r>
        <w:t>The address 172.16.10.95 is within the same 32-address subnet block, but it is the broadcast address, not a valid individual host address. Therefore, 172.16.10.78 is a valid host in this subnet, while 172.16.10.95 cannot be assigned to a device as its host IP address.</w:t>
      </w:r>
    </w:p>
    <w:p>
      <w:r>
        <w:rPr>
          <w:b/>
          <w:sz w:val="24"/>
        </w:rPr>
        <w:t>Question 5: IPv6 Address Compression and /64 Prefix</w:t>
      </w:r>
    </w:p>
    <w:p>
      <w:pPr>
        <w:spacing w:after="100"/>
      </w:pPr>
      <w:r>
        <w:t>Given IPv6 address: 2001:0db8:0000:0000:0000:ff00:0042:8329. An IPv6 address contains eight groups of four hexadecimal digits, separated by colons. Compression removes leading zeros from each group and replaces one consecutive run of all-zero groups with a double colon (::). The double colon can be used only once in an address.</w:t>
      </w:r>
    </w:p>
    <w:p>
      <w:pPr>
        <w:spacing w:after="100"/>
      </w:pPr>
      <w:r>
        <w:t>Compressed form: 2001:db8::ff00:42:8329. The leading zeros are removed from 0db8, 0042 and the other groups, and the consecutive all-zero groups are represented by ::. To expand it, restore the omitted zero groups until there are eight groups: 2001:0db8:0000:0000:0000:ff00:0042:8329. This matches the original address.</w:t>
      </w:r>
    </w:p>
    <w:p>
      <w:pPr>
        <w:spacing w:after="100"/>
      </w:pPr>
      <w:r>
        <w:t>With prefix length /64, the first 64 bits (the first four hextets) form the network prefix. The network prefix is 2001:db8:0:0::/64, equivalent to 2001:0db8:0000:0000::/64. The remaining 64 bits are available for interface identifiers within this network.</w:t>
      </w:r>
    </w:p>
    <w:p>
      <w:pPr>
        <w:spacing w:after="100"/>
      </w:pPr>
      <w:r>
        <w:t>The number of possible 64-bit interface identifiers is 2^64 = 18,446,744,073,709,551,616. Unlike common IPv4 subnet calculations, IPv6 does not use the same network-and-broadcast address subtraction rule; the full 2^64 interface-identifier space is the mathematical size of the /64 host portion. In practice, address assignment and reserved values depend on IPv6 configuration conventions.</w:t>
      </w:r>
    </w:p>
    <w:sectPr w:rsidR="002765F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29FED04-817E-44BA-B05E-DBF2EB5790B8}"/>
  </w:font>
  <w:font w:name="Calibri">
    <w:panose1 w:val="020F0502020204030204"/>
    <w:charset w:val="00"/>
    <w:family w:val="swiss"/>
    <w:pitch w:val="variable"/>
    <w:sig w:usb0="E4002EFF" w:usb1="C200247B" w:usb2="00000009" w:usb3="00000000" w:csb0="000001FF" w:csb1="00000000"/>
    <w:embedRegular r:id="rId2" w:fontKey="{454CEA80-DA6F-4D62-AAD8-3EA1D0B91E56}"/>
  </w:font>
  <w:font w:name="Cambria">
    <w:panose1 w:val="02040503050406030204"/>
    <w:charset w:val="00"/>
    <w:family w:val="roman"/>
    <w:pitch w:val="variable"/>
    <w:sig w:usb0="E00006FF" w:usb1="420024FF" w:usb2="02000000" w:usb3="00000000" w:csb0="0000019F" w:csb1="00000000"/>
    <w:embedRegular r:id="rId3" w:fontKey="{894402FD-40BE-41B0-8D3D-C497E8E610C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2765F7"/>
    <w:rsid w:val="0063600A"/>
    <w:rsid w:val="008411F1"/>
    <w:rsid w:val="00F9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A04E"/>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Shankar Ramalingam</cp:lastModifiedBy>
  <cp:revision>3</cp:revision>
  <dcterms:created xsi:type="dcterms:W3CDTF">2026-07-16T20:53:00Z</dcterms:created>
  <dcterms:modified xsi:type="dcterms:W3CDTF">2026-07-28T03:14:00Z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