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Management System - Implementation Code Governance Register</w:t>
      </w:r>
    </w:p>
    <w:p>
      <w:r>
        <w:t>Controlled implementation-code package governance update - 07 Oct 2026</w:t>
      </w:r>
    </w:p>
    <w:p>
      <w:pPr>
        <w:pStyle w:val="Heading1"/>
      </w:pPr>
      <w:r>
        <w:t>1. Purpose</w:t>
      </w:r>
    </w:p>
    <w:p>
      <w:r>
        <w:t>This register records the controlled source hierarchy and document versions after review remediation. It does not replace the approved Requirements, Software Design, UI Wireframe or workflow Implementation Specifications.</w:t>
      </w:r>
    </w:p>
    <w:p>
      <w:pPr>
        <w:pStyle w:val="Heading1"/>
      </w:pPr>
      <w:r>
        <w:t>2. Controlled Source Hierarchy</w:t>
      </w:r>
    </w:p>
    <w:p>
      <w:pPr>
        <w:pStyle w:val="ListBullet"/>
      </w:pPr>
      <w:r>
        <w:t>Requirements Analysis v2.5 - current requirements baseline</w:t>
      </w:r>
    </w:p>
    <w:p>
      <w:pPr>
        <w:pStyle w:val="ListBullet"/>
      </w:pPr>
      <w:r>
        <w:t>Software Design Document v1.16 - current software-design baseline</w:t>
      </w:r>
    </w:p>
    <w:p>
      <w:pPr>
        <w:pStyle w:val="ListBullet"/>
      </w:pPr>
      <w:r>
        <w:t>UI Wireframe Specification v1.3 - current UI design baseline</w:t>
      </w:r>
    </w:p>
    <w:p>
      <w:pPr>
        <w:pStyle w:val="ListBullet"/>
      </w:pPr>
      <w:r>
        <w:t>Workflow Implementation Specifications - versions listed below</w:t>
      </w:r>
    </w:p>
    <w:p>
      <w:pPr>
        <w:pStyle w:val="ListBullet"/>
      </w:pPr>
      <w:r>
        <w:t>Backend and Frontend Implementation Documents - versions listed below</w:t>
      </w:r>
    </w:p>
    <w:p>
      <w:pPr>
        <w:pStyle w:val="ListBullet"/>
      </w:pPr>
      <w:r>
        <w:t>Executable source repository, migration state and automated test evidence - required for implementation approval</w:t>
      </w:r>
    </w:p>
    <w:p>
      <w:pPr>
        <w:pStyle w:val="Heading1"/>
      </w:pPr>
      <w:r>
        <w:t>3. Workflow Baseline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Requirements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Implementation Spec</w:t>
            </w:r>
          </w:p>
        </w:tc>
        <w:tc>
          <w:tcPr>
            <w:tcW w:type="dxa" w:w="1440"/>
          </w:tcPr>
          <w:p>
            <w:r>
              <w:t>Backend Implementation</w:t>
            </w:r>
          </w:p>
        </w:tc>
        <w:tc>
          <w:tcPr>
            <w:tcW w:type="dxa" w:w="1440"/>
          </w:tcPr>
          <w:p>
            <w:r>
              <w:t>Frontend UI Implementation</w:t>
            </w:r>
          </w:p>
        </w:tc>
      </w:tr>
      <w:tr>
        <w:tc>
          <w:tcPr>
            <w:tcW w:type="dxa" w:w="1440"/>
          </w:tcPr>
          <w:p>
            <w:r>
              <w:t>WF-001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v1.3</w:t>
            </w:r>
          </w:p>
        </w:tc>
        <w:tc>
          <w:tcPr>
            <w:tcW w:type="dxa" w:w="1440"/>
          </w:tcPr>
          <w:p>
            <w:r>
              <w:t>v1.3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WF-002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WF-003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v1.3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WF-004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WF-005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v1.3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WF-006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WF-007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WF-008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WF-009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WF-010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WF-011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WF-012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WF-013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WF-014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  <w:tr>
        <w:tc>
          <w:tcPr>
            <w:tcW w:type="dxa" w:w="1440"/>
          </w:tcPr>
          <w:p>
            <w:r>
              <w:t>WF-015</w:t>
            </w:r>
          </w:p>
        </w:tc>
        <w:tc>
          <w:tcPr>
            <w:tcW w:type="dxa" w:w="1440"/>
          </w:tcPr>
          <w:p>
            <w:r>
              <w:t>v2.5</w:t>
            </w:r>
          </w:p>
        </w:tc>
        <w:tc>
          <w:tcPr>
            <w:tcW w:type="dxa" w:w="1440"/>
          </w:tcPr>
          <w:p>
            <w:r>
              <w:t>v1.16</w:t>
            </w:r>
          </w:p>
        </w:tc>
        <w:tc>
          <w:tcPr>
            <w:tcW w:type="dxa" w:w="1440"/>
          </w:tcPr>
          <w:p>
            <w:r>
              <w:t>v1.2</w:t>
            </w:r>
          </w:p>
        </w:tc>
        <w:tc>
          <w:tcPr>
            <w:tcW w:type="dxa" w:w="1440"/>
          </w:tcPr>
          <w:p>
            <w:r>
              <w:t>v1.3</w:t>
            </w:r>
          </w:p>
        </w:tc>
        <w:tc>
          <w:tcPr>
            <w:tcW w:type="dxa" w:w="1440"/>
          </w:tcPr>
          <w:p>
            <w:r>
              <w:t>v1.4</w:t>
            </w:r>
          </w:p>
        </w:tc>
      </w:tr>
    </w:tbl>
    <w:p>
      <w:pPr>
        <w:pStyle w:val="Heading1"/>
      </w:pPr>
      <w:r>
        <w:t>4. Governance Decisions</w:t>
      </w:r>
    </w:p>
    <w:p>
      <w:pPr>
        <w:pStyle w:val="ListBullet"/>
      </w:pPr>
      <w:r>
        <w:t>No implementation document may silently override an upstream controlled artifact.</w:t>
      </w:r>
    </w:p>
    <w:p>
      <w:pPr>
        <w:pStyle w:val="ListBullet"/>
      </w:pPr>
      <w:r>
        <w:t>Requirements v2.5 Username alignment is authoritative for WF-003 and WF-005: administrator-supplied unique Username; server-generated account_identifier.</w:t>
      </w:r>
    </w:p>
    <w:p>
      <w:pPr>
        <w:pStyle w:val="ListBullet"/>
      </w:pPr>
      <w:r>
        <w:t>Repository-specific migration numbering, middleware composition, role configuration, audit conventions and dependency versions must be discovered from the controlled repository and must not be invented in documentation.</w:t>
      </w:r>
    </w:p>
    <w:p>
      <w:pPr>
        <w:pStyle w:val="ListBullet"/>
      </w:pPr>
      <w:r>
        <w:t>Document completion is not executable evidence. Repository integration and passing automated/integration/security tests remain mandatory approval gates.</w:t>
      </w:r>
    </w:p>
    <w:p>
      <w:pPr>
        <w:pStyle w:val="ListBullet"/>
      </w:pPr>
      <w:r>
        <w:t>Security/privacy/compliance and organizational governance items identified by the approved source documents remain release gates and are not converted into new business functionality by this remediation.</w:t>
      </w:r>
    </w:p>
    <w:p>
      <w:pPr>
        <w:pStyle w:val="Heading1"/>
      </w:pPr>
      <w:r>
        <w:t>5.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Change Summary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07 Oct 2026</w:t>
            </w:r>
          </w:p>
        </w:tc>
        <w:tc>
          <w:tcPr>
            <w:tcW w:type="dxa" w:w="2160"/>
          </w:tcPr>
          <w:p>
            <w:r>
              <w:t>Controlled Governance Register</w:t>
            </w:r>
          </w:p>
        </w:tc>
        <w:tc>
          <w:tcPr>
            <w:tcW w:type="dxa" w:w="2160"/>
          </w:tcPr>
          <w:p>
            <w:r>
              <w:t>Created after implementation-code review remediation; synchronized controlled baselines and recorded approval/test gates.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Controlled - Repository Integration Pending</w:t>
            </w:r>
          </w:p>
        </w:tc>
        <w:tc>
          <w:tcPr>
            <w:tcW w:type="dxa" w:w="2160"/>
          </w:tcPr>
          <w:p>
            <w:r>
              <w:t>Final governance synchronization: confirmed all backend authoritative Reference Baselines use Requirements v2.5 and SDD v1.16; WF-003 and WF-005 use Implementation Specification v1.3; frontend/backend document metadata synchronized to controlled filenames; historical records preserved; repository integration and executable test evidence remain pending.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