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12840"/>
        </w:tabs>
        <w:spacing w:after="0" w:line="240" w:lineRule="auto"/>
        <w:ind w:left="1548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4852090</wp:posOffset>
            </wp:positionH>
            <wp:positionV relativeFrom="paragraph">
              <wp:posOffset>57150</wp:posOffset>
            </wp:positionV>
            <wp:extent cx="910535" cy="8636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535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5832475</wp:posOffset>
            </wp:positionH>
            <wp:positionV relativeFrom="paragraph">
              <wp:posOffset>57150</wp:posOffset>
            </wp:positionV>
            <wp:extent cx="920750" cy="920750"/>
            <wp:effectExtent b="0" l="0" r="0" t="0"/>
            <wp:wrapTopAndBottom distB="0" dist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before="7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00" w:line="240" w:lineRule="auto"/>
        <w:ind w:left="5349" w:right="5088" w:firstLine="0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KISI-KISI </w:t>
      </w:r>
    </w:p>
    <w:p w:rsidR="00000000" w:rsidDel="00000000" w:rsidP="00000000" w:rsidRDefault="00000000" w:rsidRPr="00000000" w14:paraId="00000004">
      <w:pPr>
        <w:widowControl w:val="0"/>
        <w:spacing w:after="0" w:before="48" w:line="259" w:lineRule="auto"/>
        <w:ind w:left="3445" w:right="3186" w:hanging="1.0000000000002274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ASESMENT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SUMATIF </w:t>
      </w:r>
    </w:p>
    <w:p w:rsidR="00000000" w:rsidDel="00000000" w:rsidP="00000000" w:rsidRDefault="00000000" w:rsidRPr="00000000" w14:paraId="00000005">
      <w:pPr>
        <w:widowControl w:val="0"/>
        <w:spacing w:after="0" w:before="48" w:line="259" w:lineRule="auto"/>
        <w:ind w:left="3445" w:right="3186" w:hanging="1.0000000000002274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PENDIDIKAN AGAMA ISLAM DAN BUDI PEKERTI </w:t>
      </w:r>
    </w:p>
    <w:p w:rsidR="00000000" w:rsidDel="00000000" w:rsidP="00000000" w:rsidRDefault="00000000" w:rsidRPr="00000000" w14:paraId="00000006">
      <w:pPr>
        <w:widowControl w:val="0"/>
        <w:spacing w:after="0" w:before="48" w:line="259" w:lineRule="auto"/>
        <w:ind w:left="3445" w:right="3186" w:hanging="1.0000000000002274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SEKOLAH MENENGAH KEJURUAN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5215473</wp:posOffset>
            </wp:positionH>
            <wp:positionV relativeFrom="paragraph">
              <wp:posOffset>354330</wp:posOffset>
            </wp:positionV>
            <wp:extent cx="1321103" cy="1252770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103" cy="1252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after="0" w:before="48" w:line="259" w:lineRule="auto"/>
        <w:ind w:left="3445" w:right="3186" w:hanging="1.0000000000002274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48" w:line="259" w:lineRule="auto"/>
        <w:ind w:left="3445" w:right="3186" w:hanging="1.0000000000002274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TAHUN PELAJARAN 2022/2023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Rule="auto"/>
        <w:ind w:left="5387" w:right="5138" w:hanging="2.9999999999995453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MUSYAWARAH GURU MATA PELAJARAN</w:t>
      </w:r>
    </w:p>
    <w:p w:rsidR="00000000" w:rsidDel="00000000" w:rsidP="00000000" w:rsidRDefault="00000000" w:rsidRPr="00000000" w14:paraId="0000000D">
      <w:pPr>
        <w:widowControl w:val="0"/>
        <w:spacing w:after="0" w:lineRule="auto"/>
        <w:ind w:left="5387" w:right="5138" w:hanging="2.9999999999995453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PENDIDIKAN AGAMA ISLAM DAN BUDI PEKERTI </w:t>
      </w:r>
    </w:p>
    <w:p w:rsidR="00000000" w:rsidDel="00000000" w:rsidP="00000000" w:rsidRDefault="00000000" w:rsidRPr="00000000" w14:paraId="0000000E">
      <w:pPr>
        <w:widowControl w:val="0"/>
        <w:spacing w:after="0" w:lineRule="auto"/>
        <w:ind w:left="5387" w:right="5138" w:hanging="2.9999999999995453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WILAYAH PROVINSI JAWA TENGAH 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ind w:left="5387" w:right="5138" w:hanging="2.9999999999995453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  <w:sectPr>
          <w:pgSz w:h="12240" w:w="20160" w:orient="landscape"/>
          <w:pgMar w:bottom="1440" w:top="1100" w:left="920" w:right="1180" w:header="0" w:footer="1248"/>
          <w:pgNumType w:start="1"/>
        </w:sect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TAHUN 2023</w:t>
      </w:r>
    </w:p>
    <w:p w:rsidR="00000000" w:rsidDel="00000000" w:rsidP="00000000" w:rsidRDefault="00000000" w:rsidRPr="00000000" w14:paraId="00000010">
      <w:pPr>
        <w:widowControl w:val="0"/>
        <w:spacing w:after="0" w:before="100" w:line="240" w:lineRule="auto"/>
        <w:ind w:left="5348" w:right="5088" w:firstLine="0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KISI-KISI PENULISAN 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6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6281"/>
        </w:tabs>
        <w:spacing w:after="0" w:before="100" w:line="281" w:lineRule="auto"/>
        <w:ind w:left="3401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Jenjang Sekolah</w:t>
        <w:tab/>
        <w:t xml:space="preserve">: SMK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6281"/>
        </w:tabs>
        <w:spacing w:after="0" w:line="242" w:lineRule="auto"/>
        <w:ind w:left="3401" w:right="521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Mata Pelajaran</w:t>
        <w:tab/>
        <w:t xml:space="preserve">: Pendidikan Agama Islam dan Budi Pekerti Kurikulum</w:t>
        <w:tab/>
        <w:t xml:space="preserve">: Merdeka</w:t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6281"/>
        </w:tabs>
        <w:spacing w:after="0" w:lineRule="auto"/>
        <w:ind w:left="3401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Fase/Kelas</w:t>
        <w:tab/>
        <w:t xml:space="preserve">: E / X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6281"/>
        </w:tabs>
        <w:spacing w:after="0" w:lineRule="auto"/>
        <w:ind w:left="3401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Alokasi Waktu</w:t>
        <w:tab/>
        <w:t xml:space="preserve">: 90 Menit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6281"/>
        </w:tabs>
        <w:spacing w:after="0" w:before="2" w:line="281" w:lineRule="auto"/>
        <w:ind w:left="3401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Bentuk Soal</w:t>
        <w:tab/>
        <w:t xml:space="preserve">: Pilgan dan Essay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6281"/>
        </w:tabs>
        <w:spacing w:after="0" w:line="240" w:lineRule="auto"/>
        <w:ind w:left="3401" w:right="5605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Tahun Pelajaran</w:t>
        <w:tab/>
        <w:t xml:space="preserve">: 2022-2023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6281"/>
        </w:tabs>
        <w:spacing w:after="0" w:line="240" w:lineRule="auto"/>
        <w:ind w:left="3401" w:right="5605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450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4"/>
        <w:gridCol w:w="4405"/>
        <w:gridCol w:w="3260"/>
        <w:gridCol w:w="1550"/>
        <w:gridCol w:w="5670"/>
        <w:gridCol w:w="1841"/>
        <w:tblGridChange w:id="0">
          <w:tblGrid>
            <w:gridCol w:w="724"/>
            <w:gridCol w:w="4405"/>
            <w:gridCol w:w="3260"/>
            <w:gridCol w:w="1550"/>
            <w:gridCol w:w="5670"/>
            <w:gridCol w:w="1841"/>
          </w:tblGrid>
        </w:tblGridChange>
      </w:tblGrid>
      <w:tr>
        <w:trPr>
          <w:cantSplit w:val="0"/>
          <w:trHeight w:val="567" w:hRule="atLeast"/>
          <w:tblHeader w:val="1"/>
        </w:trPr>
        <w:tc>
          <w:tcPr>
            <w:shd w:fill="daedf3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156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aedf3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right="156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CAPAIAN PEMBELAJARAN</w:t>
            </w:r>
          </w:p>
        </w:tc>
        <w:tc>
          <w:tcPr>
            <w:shd w:fill="daedf3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right="156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KONTEN/MATERI</w:t>
            </w:r>
          </w:p>
        </w:tc>
        <w:tc>
          <w:tcPr>
            <w:shd w:fill="daedf3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right="156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LEVEL KOGNITIF</w:t>
            </w:r>
          </w:p>
        </w:tc>
        <w:tc>
          <w:tcPr>
            <w:shd w:fill="daedf3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right="156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INDIKATOR SOAL</w:t>
            </w:r>
          </w:p>
        </w:tc>
        <w:tc>
          <w:tcPr>
            <w:shd w:fill="daedf3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right="156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NO. SOAL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left="166" w:right="164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ind w:left="105" w:right="414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Peserta didik mampu menganalisis ayat Al-Qur’an dan hadis tentang perintah untuk berkompetisi dalam kebaikan dan etos kerja serta larangan pergaulan bebas dan zina; membaca alqur`an dengan tartil, menghafal dengan fasih dan lancar ayat Al-Qur’an serta hadis tentang perintah untuk berkompetisi dalam kebaikan dan etos kerja serta bahaya dari pergaulan bebas dan zina; menyajikan konten dan paparan tentang perintah untuk berkompetisi dalam kebaikan dan etos kerja serta larangan pergaulan bebas dan zina; meyakini bahwa sikap kompetitif dalam kebaikan dan etos kerja serta menghindari pergaulan bebas dan perbuatan zina adalah perintah agama; dan membiasakan sikap kompetitif dalam kebaikan dan etos kerja serta menghindari pergaulan bebas dan perbuatan zina dengan lebih berhati-hati dan menjaga kehormatan diri.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ind w:left="105" w:right="414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Kajian Q.S. Al Isra’/17:32, Q.S An Nur/24:2, serta hadist tentang larangan pergaulan bebasa dan zina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CI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mengidentifikasi tajwid pada Q.S. al-Isra’/17: 32, dan Q.S. an-Nur /24:  2, serta Hadis terkait dengan benar.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menganalisis arti potongan pada Q.S. al-Isra’/17: 32, dan Q.S. an-Nur /24:  2, serta Hadis terkait dengan benar.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melanjutkan potongan ayat dengan baik dan benar pada Q.S. an-Nur /24:  2, serta Hadis terkait.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menunjukkan ayat dengan baik tentang larangan mendekati pergaulan bebas dan zina.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disajikan ilustrasi tentang penyebab manusia terjerumus kedalam pergaulan bebas dan zina, peserta didik dapat menghindarinya dengan baik sesuai Q.S. al-Isra’/17: 32, dan Q.S. an-Nur /24:  2, serta Hadis terkait.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menganalisis hukum pergaulan bebas dan zina sesuai Q.S. al-Isra’/17: 32, dan Q.S. an-Nur /24:  2, serta Hadis terkait.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menganalisis makna pergaulan bebas dan zina sesuai Q.S. al-Isra’/17: 32, dan Q.S. an-Nur /24:  2, serta Hadis terkait.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menganalisis kandungan Q.S. al-Isra’/17: 32, dan Q.S. an-Nur /24:  2, serta Hadis terkait dengan baik.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menghindari pergaulan bebas dan zina dalam kehidpan sehari-sehari.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menganalisis dampak dari pergaulan bebas dan zina dengan baik.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dapat menunjukkan sikap yang mencerminkan dengan Q.S. al-Isra’/17: 32, dan Q.S. an-Nur /24:  2, serta Hadis terkait.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 (Essay)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166" w:right="164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left="105" w:right="414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peserta didik mampu menganalisis makna syu’abul īmān (cabangcabang iman), pengertian, dalil, macam dan manfaatnya; mempresentasikan makna syu’abul īmān (cabang-cabang iman), pengertian, dalil, macam dan manfaatnya; meyakini bahwa dalam iman terdapat banyak cabang-cabangnya; menerapkan beberapa sikap dan karakter sebagai cerminan cabang iman dalam kehidupan.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105" w:right="186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Perilaku Mahabbah, Khouf, Raja’, dan Tawakal dalam menata kehidupan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 menganalisis cabang iman tentang tanda-tanda khauf kepada Allah Swt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cara-cara meningkatkan cinta kepada Allah Swt dan menampilkan akhlak mulia dalam kehidupan sehari-hari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cara-cara meningkatkan cinta kepada Allah Swt dan menampilkan akhlak mulia dalam kehidupan sehari-hari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 menganalisis cabang iman tentang hikmah  bermakhabbah  kepada Allah Swt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cara-cara meningkatkan cinta kepada Allah Swt dan menampilkan akhlak mulia dalam kehidupan sehari-hari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cara-cara meningkatkan rasa khauf  kepada Allah Swt dan menampilkan akhlak mulia dalam kehidupan sehari-hari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cara-cara meningkatkan rasa khauf  kepada Allah Swt dan menampilkan akhlak mulia dalam kehidupan sehari-hari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cara-cara bertawakkal  kepada Allah Swt dan menampilkan akhlak mulia dalam kehidupan sehari-hari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cara-cara Raja’ kepada Allah Swt dan menampilkan akhlak mulia dalam kehidupan sehari-hari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manfaat bertawakkal  kepada Allah Swt dan menampilkan akhlak mulia dalam kehidupan sehari-hari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hakikat mencintai Allah Swt serta tanda-tandanya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 (Essay)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left="166" w:right="164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left="105" w:right="414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peserta didik mampu menganalisis manfaat menghindari akhlak ma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ẑ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mūmah; membuat karya yang mengandung konten manfaat menghindari sikap ma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ẑ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mūmah; meyakini bahwa akhlak ma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ẑ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mūmah adalah larangan dan akhlak mahmūdah adalah perintah agama; membiasakan diri untuk menghindari akhlak ma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ẑ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mūmah dan menampilkan akhlak mahmūdah dalam kehidupan sehari-hari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left="105" w:right="441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Menghindari sikap gadab dan menumbuhkan sikap control diri dan saja’ah dalam kehidupan sehari-hari.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A1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makna sikap gadab yang merupakan akhlak ma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ẑ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mūmah yang harus dihindari.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sikap kontrol diri dan syajaah dalam kehidupan sehari hari sebagai akhlak mahmūdah yang diperintahkan oleh agama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serta menerapkan sikap kontrol diri sebagai akhlak mahmūdah dalam kehidupan sehari-hari dilingkungan sekolah.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membiasakan diri untuk menghindari akhlak ma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ẑ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mūmah dan menampilkan akhlak mahmūdah dalam kehidupan sehari-hari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dan menerapkan prilaku syaja’ah dalam kehidupan sehari hari sebagai perintah agama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memahami konsep serta menghindari sikap gadab dan menumbuhkan sikap control diri dan saja’ah dalam kehidupan sehari-hari sebagai perintah agama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membiasakan diri serta menampilkan akhlak mahmūdah dalam kehidupan sehari-hari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menghindari sikap gadab dan menumbuhkan sikap control diri dan saja’ah dalam kehidupan sehari-hari sebagai perintah agama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menerapkan prilaku kontrol diri dan saja’ah dalam kehidupan sehari-hari sebagai perintah agama.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menerapkan prilaku kontrol diri dan saja’ah dalam kehidupan sehari-hari sebagai perintah agama.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serta menghindari sikap gadab dalam menumbuhkan sikap control diri dan saja’ah dalam kehidupan sehari-hari.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 (Essay)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ind w:left="166" w:right="164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ind w:left="105" w:right="414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peserta didik mampu menganalisis implementasi fikih muamalah dan al-kulliyât al-khamsah (lima prinsip dasar hukum Islam; menyajikan paparan tentang fikih muamalah dan al-kulliyât al-khamsah meyakini bahwa ketentuan fikih muamalah dan al-kulliyât al-khamsah adalah ajaran agama menumbuhkan jiwa kewirausahaan, kepedulian, dan kepekaan social.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ind w:left="105" w:right="441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Menjaga keseimbangan kehidupan dengan al-Kuliyat Al-Khamsah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C6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makna al-Kulliyatu al-Khamsah sebagai lima prinsip hukum Islam dalam kehidupan sehari-hari .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penerapan al-Kulliyatu al-Khamsah sebagai lima prinsip hukum Islam dalam kehidupan sehari-hari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penerapan al-Kulliyatu al-Khamsah sebagai lima prinsip hukum Islam dalam kehidupan sehari-hari.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memahami konsep al-Kulliyatu al-Khamsah sebagai lima prinsip hukum Islam dalam kehidupan sehari-hari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menelaah pelaksanaan al-Kulliyatu al-Khamsah sebagai lima prinsip hukum Islam dalam kehidupan sehari-hari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memahami konsep serta menerapkan al-Kulliyatu al-Khamsah sebagai lima prinsip hukum Islam dalam kehidupan sehari-hari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Disajikan narasi, peserta didik mampu menelaah dalam menerapkan al-Kulliyatu al-Khamsah sebagai lima prinsip hukum Islam dalam kehidupan sehari-hari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menganalisa penerapan al-Kulliyatu al-Khamsah dalam lingkuan masyarakat sebagai lima prinsip hukum Islam dalam kehidupan sehari-hari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menerapkan al-Kulliyatu al-Khamsah sebagai lima prinsip hukum Islam dalam kehidupan sehari-hari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menerapkan prilaku sehari hari yang berkaitan dengan penegakan al-Kulliyatu al-Khamsah sebagai lima prinsip hukum Islam dalam kehidupan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menghayati penegakan al-Kulliyatu al-Khamsah sebagai lima prinsip hukum Islam dalam kehidupan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 (Essay)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ind w:left="166" w:right="164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ind w:left="105" w:right="414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peserta didik mampu: menganalisis sejarah dan peran tokoh ulama penyebar ajaran Islam di Indonesia membuat bagan timeline sejarah tokoh ulama penyebar ajaran Islam di Indonesia dan memaparkannya; meyakini bahwa perkembangan peradaban di Indonesia adalah sunatullah dan metode dakwah yang santun, moderat, bi al-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ḥ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ikmah wa al-mau`i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ẓ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at al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ḥ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asanah adalah perintah Allah Swt.;  membiasakan sikap kesederhanaan dan kesungguhan mencari ilmu, tekun, damai, serta semangat menghargai adat istiadat dan perbedaan keyakinan orang lain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ind w:left="105" w:right="441" w:firstLine="0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Peran Tokoh Ulama dalam Penyebaran Islam di Indonesia (Metode Dakwah Islam Oleh Wali Songo di Tanah Jawa)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A1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makna dakwah wali songo dalam penyebaran Islam di Indonesia.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meneladani dakwah wali songo dalam penyebaran Islam di Indonesia.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peran tokoh Ulama penyebaran Islam di Indonesia(Metode Dakwah Islam oleh Wali Sanga di Tanah Jawa)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membiasakan diri untuk menerapkan dakwah wali songo dalam penyebaran Islam di Indonesia.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menganalisis dan menerapkan dakwah wali songo dalam penyebaran Islam di Indonesia.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memahami konsep dakwah wali songo dalam penyebaran Islam di Indonesia.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membiasakan diri serta menerapkan dakwah wali songo dalam penyebaran Islam di Indonesia.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meneladani dakwah wali songo dalam penyebaran Islam di Indonesia.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menerapkan prilaku metode dakwah wali songo dalam penyebaran Islam di Indonesia.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meneladani dakwah wali songo dalam penyebaran Islam di Indonesia.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-6" w:hanging="283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Peserta didik mampu memahami metode dakwah Sunan Ampel dalam penyebaran Islam di Indonesia.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 (Essay)</w:t>
            </w:r>
          </w:p>
        </w:tc>
      </w:tr>
    </w:tbl>
    <w:p w:rsidR="00000000" w:rsidDel="00000000" w:rsidP="00000000" w:rsidRDefault="00000000" w:rsidRPr="00000000" w14:paraId="000001DC">
      <w:pPr>
        <w:widowControl w:val="0"/>
        <w:spacing w:after="1" w:before="3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2240" w:w="20160" w:orient="landscape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60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27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6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44E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144E2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7144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44E2"/>
  </w:style>
  <w:style w:type="paragraph" w:styleId="Footer">
    <w:name w:val="footer"/>
    <w:basedOn w:val="Normal"/>
    <w:link w:val="FooterChar"/>
    <w:uiPriority w:val="99"/>
    <w:unhideWhenUsed w:val="1"/>
    <w:rsid w:val="007144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44E2"/>
  </w:style>
  <w:style w:type="paragraph" w:styleId="TableParagraph" w:customStyle="1">
    <w:name w:val="Table Paragraph"/>
    <w:basedOn w:val="Normal"/>
    <w:uiPriority w:val="1"/>
    <w:qFormat w:val="1"/>
    <w:rsid w:val="00EF7325"/>
    <w:pPr>
      <w:widowControl w:val="0"/>
      <w:autoSpaceDE w:val="0"/>
      <w:autoSpaceDN w:val="0"/>
      <w:spacing w:after="0" w:line="240" w:lineRule="auto"/>
    </w:pPr>
    <w:rPr>
      <w:rFonts w:ascii="Bookman Old Style" w:cs="Bookman Old Style" w:eastAsia="Bookman Old Style" w:hAnsi="Bookman Old Style"/>
    </w:rPr>
  </w:style>
  <w:style w:type="paragraph" w:styleId="Default" w:customStyle="1">
    <w:name w:val="Default"/>
    <w:rsid w:val="00820CC2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 w:val="1"/>
    <w:rsid w:val="00847D4D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character" w:styleId="ListParagraphChar" w:customStyle="1">
    <w:name w:val="List Paragraph Char"/>
    <w:link w:val="ListParagraph"/>
    <w:uiPriority w:val="34"/>
    <w:locked w:val="1"/>
    <w:rsid w:val="00A2228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OdChhco4hZ82NTT9aOk5nHnHsA==">AMUW2mVCeUZsdLoUoA7SykK7Q8gIsT1xDOaBzi3XXoXNpakeV2siDBK8nmAm8VoqEvi5oNs4CLaJF9iiifdoED3gkb3jdor5sVOBx12I65jAtAh3eb8CNMZ9CI+gvGLiX8p9R7Cl7Zqn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2021-02-11T07:38:00Z</dcterms:created>
  <dc:creator>user</dc:creator>
</cp:coreProperties>
</file>