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5EEFD">
      <w:pPr>
        <w:jc w:val="center"/>
      </w:pPr>
      <w:r>
        <w:rPr>
          <w:rFonts w:ascii="Aptos Display" w:hAnsi="Aptos Display"/>
          <w:b/>
          <w:sz w:val="28"/>
        </w:rPr>
        <w:br w:type="textWrapping"/>
      </w:r>
      <w:r>
        <w:rPr>
          <w:rFonts w:ascii="Aptos Display" w:hAnsi="Aptos Display"/>
          <w:b/>
          <w:sz w:val="28"/>
        </w:rPr>
        <w:t>DATA ANALYSIS &amp; VISUALIZATION</w:t>
      </w:r>
      <w:r>
        <w:rPr>
          <w:rFonts w:ascii="Aptos Display" w:hAnsi="Aptos Display"/>
          <w:b/>
          <w:sz w:val="28"/>
        </w:rPr>
        <w:br w:type="textWrapping"/>
      </w:r>
    </w:p>
    <w:p w14:paraId="7ABAAA24">
      <w:pPr>
        <w:pStyle w:val="36"/>
        <w:jc w:val="center"/>
      </w:pPr>
      <w:r>
        <w:t>Phase 1 Project Proposal</w:t>
      </w:r>
    </w:p>
    <w:p w14:paraId="69985B36">
      <w:pPr>
        <w:jc w:val="center"/>
      </w:pPr>
      <w:r>
        <w:rPr>
          <w:b/>
          <w:sz w:val="36"/>
        </w:rPr>
        <w:t>European Weather &amp; Climate Change Analytics Lakehouse</w:t>
      </w:r>
    </w:p>
    <w:p w14:paraId="52EC8804">
      <w:pPr>
        <w:jc w:val="center"/>
      </w:pPr>
      <w:r>
        <w:rPr>
          <w:i/>
        </w:rPr>
        <w:br w:type="textWrapping"/>
      </w:r>
      <w:r>
        <w:rPr>
          <w:i/>
        </w:rPr>
        <w:t>An End-to-End Data Engineering Pipeline using</w:t>
      </w:r>
      <w:r>
        <w:rPr>
          <w:i/>
        </w:rPr>
        <w:br w:type="textWrapping"/>
      </w:r>
      <w:r>
        <w:rPr>
          <w:i/>
        </w:rPr>
        <w:t>Apache Spark, Databricks, Delta Lake and Medallion Architecture</w:t>
      </w:r>
    </w:p>
    <w:p w14:paraId="6F0B3366">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38A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066D3955">
            <w:pPr>
              <w:spacing w:line="240" w:lineRule="auto"/>
            </w:pPr>
            <w:r>
              <w:rPr>
                <w:rFonts w:ascii="Aptos" w:hAnsi="Aptos"/>
                <w:b/>
                <w:sz w:val="19"/>
              </w:rPr>
              <w:t>Field</w:t>
            </w:r>
          </w:p>
        </w:tc>
        <w:tc>
          <w:tcPr>
            <w:tcW w:w="5040" w:type="dxa"/>
            <w:shd w:val="clear" w:color="auto" w:fill="D9EAF7"/>
            <w:vAlign w:val="center"/>
          </w:tcPr>
          <w:p w14:paraId="18F300A7">
            <w:pPr>
              <w:spacing w:line="240" w:lineRule="auto"/>
            </w:pPr>
            <w:r>
              <w:rPr>
                <w:rFonts w:ascii="Aptos" w:hAnsi="Aptos"/>
                <w:b/>
                <w:sz w:val="19"/>
              </w:rPr>
              <w:t>Details</w:t>
            </w:r>
          </w:p>
        </w:tc>
      </w:tr>
      <w:tr w14:paraId="5BE1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5FB6529">
            <w:pPr>
              <w:spacing w:line="240" w:lineRule="auto"/>
            </w:pPr>
            <w:r>
              <w:rPr>
                <w:rFonts w:ascii="Aptos" w:hAnsi="Aptos"/>
                <w:b w:val="0"/>
                <w:sz w:val="19"/>
              </w:rPr>
              <w:t>Course</w:t>
            </w:r>
          </w:p>
        </w:tc>
        <w:tc>
          <w:tcPr>
            <w:tcW w:w="5040" w:type="dxa"/>
            <w:vAlign w:val="center"/>
          </w:tcPr>
          <w:p w14:paraId="2CDA544E">
            <w:pPr>
              <w:spacing w:line="240" w:lineRule="auto"/>
            </w:pPr>
            <w:r>
              <w:rPr>
                <w:rFonts w:ascii="Aptos" w:hAnsi="Aptos"/>
                <w:b w:val="0"/>
                <w:sz w:val="19"/>
              </w:rPr>
              <w:t>Data Analysis &amp; Visualization (DAV)</w:t>
            </w:r>
          </w:p>
        </w:tc>
      </w:tr>
      <w:tr w14:paraId="7016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585625D">
            <w:pPr>
              <w:spacing w:line="240" w:lineRule="auto"/>
            </w:pPr>
            <w:r>
              <w:rPr>
                <w:rFonts w:ascii="Aptos" w:hAnsi="Aptos"/>
                <w:b w:val="0"/>
                <w:sz w:val="19"/>
              </w:rPr>
              <w:t>Student</w:t>
            </w:r>
          </w:p>
        </w:tc>
        <w:tc>
          <w:tcPr>
            <w:tcW w:w="5040" w:type="dxa"/>
            <w:vAlign w:val="center"/>
          </w:tcPr>
          <w:p w14:paraId="0070A665">
            <w:pPr>
              <w:spacing w:line="240" w:lineRule="auto"/>
            </w:pPr>
            <w:r>
              <w:t>Muhammad Adnan Zaka (24I-2537)</w:t>
            </w:r>
          </w:p>
        </w:tc>
      </w:tr>
      <w:tr w14:paraId="0A73B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5BF4824">
            <w:pPr>
              <w:spacing w:line="240" w:lineRule="auto"/>
            </w:pPr>
            <w:r>
              <w:rPr>
                <w:rFonts w:ascii="Aptos" w:hAnsi="Aptos"/>
                <w:b w:val="0"/>
                <w:sz w:val="19"/>
              </w:rPr>
              <w:t>Group Member 2</w:t>
            </w:r>
          </w:p>
        </w:tc>
        <w:tc>
          <w:tcPr>
            <w:tcW w:w="5040" w:type="dxa"/>
            <w:vAlign w:val="center"/>
          </w:tcPr>
          <w:p w14:paraId="61E71111">
            <w:pPr>
              <w:spacing w:line="240" w:lineRule="auto"/>
            </w:pPr>
            <w:r>
              <w:t>Ahmad Azad (24L-2523)</w:t>
            </w:r>
          </w:p>
        </w:tc>
      </w:tr>
      <w:tr w14:paraId="5FD0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972326">
            <w:pPr>
              <w:spacing w:line="240" w:lineRule="auto"/>
            </w:pPr>
            <w:r>
              <w:rPr>
                <w:rFonts w:ascii="Aptos" w:hAnsi="Aptos"/>
                <w:b w:val="0"/>
                <w:sz w:val="19"/>
              </w:rPr>
              <w:t>Program</w:t>
            </w:r>
          </w:p>
        </w:tc>
        <w:tc>
          <w:tcPr>
            <w:tcW w:w="5040" w:type="dxa"/>
            <w:vAlign w:val="center"/>
          </w:tcPr>
          <w:p w14:paraId="255C6927">
            <w:pPr>
              <w:spacing w:line="240" w:lineRule="auto"/>
            </w:pPr>
            <w:r>
              <w:rPr>
                <w:rFonts w:ascii="Aptos" w:hAnsi="Aptos"/>
                <w:b w:val="0"/>
                <w:sz w:val="19"/>
              </w:rPr>
              <w:t>BS Data Science</w:t>
            </w:r>
          </w:p>
        </w:tc>
      </w:tr>
      <w:tr w14:paraId="175C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D4BC193">
            <w:pPr>
              <w:spacing w:line="240" w:lineRule="auto"/>
            </w:pPr>
            <w:r>
              <w:rPr>
                <w:rFonts w:ascii="Aptos" w:hAnsi="Aptos"/>
                <w:b w:val="0"/>
                <w:sz w:val="19"/>
              </w:rPr>
              <w:t>University</w:t>
            </w:r>
          </w:p>
        </w:tc>
        <w:tc>
          <w:tcPr>
            <w:tcW w:w="5040" w:type="dxa"/>
            <w:vAlign w:val="center"/>
          </w:tcPr>
          <w:p w14:paraId="224BA08B">
            <w:pPr>
              <w:spacing w:line="240" w:lineRule="auto"/>
            </w:pPr>
            <w:r>
              <w:rPr>
                <w:rFonts w:ascii="Aptos" w:hAnsi="Aptos"/>
                <w:b w:val="0"/>
                <w:sz w:val="19"/>
              </w:rPr>
              <w:t>FAST-NUCES Lahore</w:t>
            </w:r>
          </w:p>
        </w:tc>
      </w:tr>
      <w:tr w14:paraId="18E7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AAB8B8E">
            <w:pPr>
              <w:spacing w:line="240" w:lineRule="auto"/>
            </w:pPr>
            <w:r>
              <w:rPr>
                <w:rFonts w:ascii="Aptos" w:hAnsi="Aptos"/>
                <w:b w:val="0"/>
                <w:sz w:val="19"/>
              </w:rPr>
              <w:t>Phase</w:t>
            </w:r>
          </w:p>
        </w:tc>
        <w:tc>
          <w:tcPr>
            <w:tcW w:w="5040" w:type="dxa"/>
            <w:vAlign w:val="center"/>
          </w:tcPr>
          <w:p w14:paraId="4CD21F9A">
            <w:pPr>
              <w:spacing w:line="240" w:lineRule="auto"/>
            </w:pPr>
            <w:r>
              <w:rPr>
                <w:rFonts w:ascii="Aptos" w:hAnsi="Aptos"/>
                <w:b w:val="0"/>
                <w:sz w:val="19"/>
              </w:rPr>
              <w:t>Phase 1 – Domain, Data Source &amp; Architecture Proposal</w:t>
            </w:r>
          </w:p>
        </w:tc>
      </w:tr>
      <w:tr w14:paraId="6A74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5DE8965">
            <w:pPr>
              <w:spacing w:line="240" w:lineRule="auto"/>
            </w:pPr>
            <w:r>
              <w:rPr>
                <w:rFonts w:ascii="Aptos" w:hAnsi="Aptos"/>
                <w:b w:val="0"/>
                <w:sz w:val="19"/>
              </w:rPr>
              <w:t>Semester</w:t>
            </w:r>
          </w:p>
        </w:tc>
        <w:tc>
          <w:tcPr>
            <w:tcW w:w="5040" w:type="dxa"/>
            <w:vAlign w:val="center"/>
          </w:tcPr>
          <w:p w14:paraId="3824945C">
            <w:pPr>
              <w:spacing w:line="240" w:lineRule="auto"/>
            </w:pPr>
            <w:r>
              <w:rPr>
                <w:rFonts w:ascii="Aptos" w:hAnsi="Aptos"/>
                <w:b w:val="0"/>
                <w:sz w:val="19"/>
              </w:rPr>
              <w:t>Fall 2026</w:t>
            </w:r>
          </w:p>
        </w:tc>
      </w:tr>
    </w:tbl>
    <w:p w14:paraId="1ECB3171"/>
    <w:p w14:paraId="41C1C47A">
      <w:pPr>
        <w:pStyle w:val="164"/>
        <w:jc w:val="center"/>
      </w:pPr>
      <w:r>
        <w:t>Project scope: 20 major European cities • Hourly historical weather • 1940–2025 • Full + Incremental ingestion</w:t>
      </w:r>
    </w:p>
    <w:p w14:paraId="101CB14B">
      <w:r>
        <w:br w:type="page"/>
      </w:r>
    </w:p>
    <w:p w14:paraId="690D5A56">
      <w:pPr>
        <w:pStyle w:val="2"/>
      </w:pPr>
      <w:r>
        <w:t>1. Project Overview</w:t>
      </w:r>
    </w:p>
    <w:p w14:paraId="71A1D76A">
      <w:r>
        <w:t>Modern analytical systems are not built as simple single-machine scripts when data volume and processing requirements grow. This project designs a distributed data pipeline for European weather and long-term climate trend analytics. The pipeline follows the Lakehouse approach and Medallion Architecture so that data moves through progressive refinement boundaries: Bronze for source-oriented data, Silver for clean and analysis-ready observations, and Gold for business-ready analytical tables.</w:t>
      </w:r>
    </w:p>
    <w:p w14:paraId="758D7347">
      <w:r>
        <w:t>The project will ingest historical hourly weather data for 20 major European cities using the Open-Meteo Historical Weather API with the ERA5 model. Apache Spark in Databricks will be used as the distributed processing engine, Delta Lake will provide the reliable table/storage layer, and Power BI will be used for the final analytical dashboard.</w:t>
      </w:r>
    </w:p>
    <w:p w14:paraId="217A515C">
      <w:pPr>
        <w:pStyle w:val="3"/>
      </w:pPr>
      <w:r>
        <w:t>1.1 Project Objective</w:t>
      </w:r>
    </w:p>
    <w:p w14:paraId="62C56ECB">
      <w:r>
        <w:t>The objective is to build an end-to-end pipeline that can perform an initial Full Load of historical data and then continue through Incremental Loads of newly available observations. The final analytical layer will support questions about temperature trends, precipitation patterns, seasonal behavior, and extreme-weather indicators across European cities and regions.</w:t>
      </w:r>
    </w:p>
    <w:p w14:paraId="6B99EDB2">
      <w:pPr>
        <w:pStyle w:val="3"/>
      </w:pPr>
      <w:r>
        <w:t>1.2 High-Level Flow</w:t>
      </w:r>
    </w:p>
    <w:p w14:paraId="72E50005">
      <w:pPr>
        <w:jc w:val="center"/>
      </w:pPr>
      <w:r>
        <w:rPr>
          <w:b/>
          <w:sz w:val="24"/>
        </w:rPr>
        <w:t>Open-Meteo ERA5 API  →  Bronze  →  Silver  →  Gold  →  Power BI</w:t>
      </w:r>
    </w:p>
    <w:p w14:paraId="341FE346">
      <w:pPr>
        <w:pStyle w:val="164"/>
        <w:jc w:val="center"/>
      </w:pPr>
      <w:r>
        <w:t>Source data → validated/source-oriented → clean &amp; read-optimized → business-ready → visualization</w:t>
      </w:r>
    </w:p>
    <w:p w14:paraId="74B94A62">
      <w:pPr>
        <w:pStyle w:val="2"/>
      </w:pPr>
      <w:r>
        <w:t>2. Domain &amp; Data Source Identification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6B92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3EF43571">
            <w:pPr>
              <w:spacing w:line="240" w:lineRule="auto"/>
            </w:pPr>
            <w:r>
              <w:rPr>
                <w:rFonts w:ascii="Aptos" w:hAnsi="Aptos"/>
                <w:b/>
                <w:sz w:val="19"/>
              </w:rPr>
              <w:t>Item</w:t>
            </w:r>
          </w:p>
        </w:tc>
        <w:tc>
          <w:tcPr>
            <w:tcW w:w="5040" w:type="dxa"/>
            <w:shd w:val="clear" w:color="auto" w:fill="D9EAF7"/>
            <w:vAlign w:val="center"/>
          </w:tcPr>
          <w:p w14:paraId="71CA9522">
            <w:pPr>
              <w:spacing w:line="240" w:lineRule="auto"/>
            </w:pPr>
            <w:r>
              <w:rPr>
                <w:rFonts w:ascii="Aptos" w:hAnsi="Aptos"/>
                <w:b/>
                <w:sz w:val="19"/>
              </w:rPr>
              <w:t>Selected Design</w:t>
            </w:r>
          </w:p>
        </w:tc>
      </w:tr>
      <w:tr w14:paraId="3095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5CFE389">
            <w:pPr>
              <w:spacing w:line="240" w:lineRule="auto"/>
            </w:pPr>
            <w:r>
              <w:rPr>
                <w:rFonts w:ascii="Aptos" w:hAnsi="Aptos"/>
                <w:b w:val="0"/>
                <w:sz w:val="19"/>
              </w:rPr>
              <w:t>Domain</w:t>
            </w:r>
          </w:p>
        </w:tc>
        <w:tc>
          <w:tcPr>
            <w:tcW w:w="5040" w:type="dxa"/>
            <w:vAlign w:val="center"/>
          </w:tcPr>
          <w:p w14:paraId="2950C266">
            <w:pPr>
              <w:spacing w:line="240" w:lineRule="auto"/>
            </w:pPr>
            <w:r>
              <w:rPr>
                <w:rFonts w:ascii="Aptos" w:hAnsi="Aptos"/>
                <w:b w:val="0"/>
                <w:sz w:val="19"/>
              </w:rPr>
              <w:t>Weather and Climate Analytics</w:t>
            </w:r>
          </w:p>
        </w:tc>
      </w:tr>
      <w:tr w14:paraId="013F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94A83E">
            <w:pPr>
              <w:spacing w:line="240" w:lineRule="auto"/>
            </w:pPr>
            <w:r>
              <w:rPr>
                <w:rFonts w:ascii="Aptos" w:hAnsi="Aptos"/>
                <w:b w:val="0"/>
                <w:sz w:val="19"/>
              </w:rPr>
              <w:t>Geographic Scope</w:t>
            </w:r>
          </w:p>
        </w:tc>
        <w:tc>
          <w:tcPr>
            <w:tcW w:w="5040" w:type="dxa"/>
            <w:vAlign w:val="center"/>
          </w:tcPr>
          <w:p w14:paraId="35DF4FE0">
            <w:pPr>
              <w:spacing w:line="240" w:lineRule="auto"/>
            </w:pPr>
            <w:r>
              <w:rPr>
                <w:rFonts w:ascii="Aptos" w:hAnsi="Aptos"/>
                <w:b w:val="0"/>
                <w:sz w:val="19"/>
              </w:rPr>
              <w:t>20 major European cities across Northern, Western, Central, Southern and Eastern Europe</w:t>
            </w:r>
          </w:p>
        </w:tc>
      </w:tr>
      <w:tr w14:paraId="4FFE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1D2112">
            <w:pPr>
              <w:spacing w:line="240" w:lineRule="auto"/>
            </w:pPr>
            <w:r>
              <w:rPr>
                <w:rFonts w:ascii="Aptos" w:hAnsi="Aptos"/>
                <w:b w:val="0"/>
                <w:sz w:val="19"/>
              </w:rPr>
              <w:t>Source</w:t>
            </w:r>
          </w:p>
        </w:tc>
        <w:tc>
          <w:tcPr>
            <w:tcW w:w="5040" w:type="dxa"/>
            <w:vAlign w:val="center"/>
          </w:tcPr>
          <w:p w14:paraId="4B0331E9">
            <w:pPr>
              <w:spacing w:line="240" w:lineRule="auto"/>
            </w:pPr>
            <w:r>
              <w:rPr>
                <w:rFonts w:ascii="Aptos" w:hAnsi="Aptos"/>
                <w:b w:val="0"/>
                <w:sz w:val="19"/>
              </w:rPr>
              <w:t>Open-Meteo Historical Weather API</w:t>
            </w:r>
          </w:p>
        </w:tc>
      </w:tr>
      <w:tr w14:paraId="3988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C0E1DB4">
            <w:pPr>
              <w:spacing w:line="240" w:lineRule="auto"/>
            </w:pPr>
            <w:r>
              <w:rPr>
                <w:rFonts w:ascii="Aptos" w:hAnsi="Aptos"/>
                <w:b w:val="0"/>
                <w:sz w:val="19"/>
              </w:rPr>
              <w:t>Dataset / Model</w:t>
            </w:r>
          </w:p>
        </w:tc>
        <w:tc>
          <w:tcPr>
            <w:tcW w:w="5040" w:type="dxa"/>
            <w:vAlign w:val="center"/>
          </w:tcPr>
          <w:p w14:paraId="3A04B28D">
            <w:pPr>
              <w:spacing w:line="240" w:lineRule="auto"/>
            </w:pPr>
            <w:r>
              <w:rPr>
                <w:rFonts w:ascii="Aptos" w:hAnsi="Aptos"/>
                <w:b w:val="0"/>
                <w:sz w:val="19"/>
              </w:rPr>
              <w:t>ERA5 historical reanalysis</w:t>
            </w:r>
          </w:p>
        </w:tc>
      </w:tr>
      <w:tr w14:paraId="289B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C994EC">
            <w:pPr>
              <w:spacing w:line="240" w:lineRule="auto"/>
            </w:pPr>
            <w:r>
              <w:rPr>
                <w:rFonts w:ascii="Aptos" w:hAnsi="Aptos"/>
                <w:b w:val="0"/>
                <w:sz w:val="19"/>
              </w:rPr>
              <w:t>Granularity</w:t>
            </w:r>
          </w:p>
        </w:tc>
        <w:tc>
          <w:tcPr>
            <w:tcW w:w="5040" w:type="dxa"/>
            <w:vAlign w:val="center"/>
          </w:tcPr>
          <w:p w14:paraId="62B8E431">
            <w:pPr>
              <w:spacing w:line="240" w:lineRule="auto"/>
            </w:pPr>
            <w:r>
              <w:rPr>
                <w:rFonts w:ascii="Aptos" w:hAnsi="Aptos"/>
                <w:b w:val="0"/>
                <w:sz w:val="19"/>
              </w:rPr>
              <w:t>Hourly observations</w:t>
            </w:r>
          </w:p>
        </w:tc>
      </w:tr>
      <w:tr w14:paraId="595F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CBE5A2A">
            <w:pPr>
              <w:spacing w:line="240" w:lineRule="auto"/>
            </w:pPr>
            <w:r>
              <w:rPr>
                <w:rFonts w:ascii="Aptos" w:hAnsi="Aptos"/>
                <w:b w:val="0"/>
                <w:sz w:val="19"/>
              </w:rPr>
              <w:t>Production Period</w:t>
            </w:r>
          </w:p>
        </w:tc>
        <w:tc>
          <w:tcPr>
            <w:tcW w:w="5040" w:type="dxa"/>
            <w:vAlign w:val="center"/>
          </w:tcPr>
          <w:p w14:paraId="0F13E24B">
            <w:pPr>
              <w:spacing w:line="240" w:lineRule="auto"/>
            </w:pPr>
            <w:r>
              <w:rPr>
                <w:rFonts w:ascii="Aptos" w:hAnsi="Aptos"/>
                <w:b w:val="0"/>
                <w:sz w:val="19"/>
              </w:rPr>
              <w:t>1940-01-01 to 2025-12-31</w:t>
            </w:r>
          </w:p>
        </w:tc>
      </w:tr>
      <w:tr w14:paraId="2DD9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924AB5">
            <w:pPr>
              <w:spacing w:line="240" w:lineRule="auto"/>
            </w:pPr>
            <w:r>
              <w:rPr>
                <w:rFonts w:ascii="Aptos" w:hAnsi="Aptos"/>
                <w:b w:val="0"/>
                <w:sz w:val="19"/>
              </w:rPr>
              <w:t>Time Standard</w:t>
            </w:r>
          </w:p>
        </w:tc>
        <w:tc>
          <w:tcPr>
            <w:tcW w:w="5040" w:type="dxa"/>
            <w:vAlign w:val="center"/>
          </w:tcPr>
          <w:p w14:paraId="4B624AA7">
            <w:pPr>
              <w:spacing w:line="240" w:lineRule="auto"/>
            </w:pPr>
            <w:r>
              <w:rPr>
                <w:rFonts w:ascii="Aptos" w:hAnsi="Aptos"/>
                <w:b w:val="0"/>
                <w:sz w:val="19"/>
              </w:rPr>
              <w:t>UTC</w:t>
            </w:r>
          </w:p>
        </w:tc>
      </w:tr>
      <w:tr w14:paraId="212B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A325F2B">
            <w:pPr>
              <w:spacing w:line="240" w:lineRule="auto"/>
            </w:pPr>
            <w:r>
              <w:rPr>
                <w:rFonts w:ascii="Aptos" w:hAnsi="Aptos"/>
                <w:b w:val="0"/>
                <w:sz w:val="19"/>
              </w:rPr>
              <w:t>Processing Platform</w:t>
            </w:r>
          </w:p>
        </w:tc>
        <w:tc>
          <w:tcPr>
            <w:tcW w:w="5040" w:type="dxa"/>
            <w:vAlign w:val="center"/>
          </w:tcPr>
          <w:p w14:paraId="72773723">
            <w:pPr>
              <w:spacing w:line="240" w:lineRule="auto"/>
            </w:pPr>
            <w:r>
              <w:rPr>
                <w:rFonts w:ascii="Aptos" w:hAnsi="Aptos"/>
                <w:b w:val="0"/>
                <w:sz w:val="19"/>
              </w:rPr>
              <w:t>Databricks Free Edition + Apache Spark / PySpark</w:t>
            </w:r>
          </w:p>
        </w:tc>
      </w:tr>
      <w:tr w14:paraId="5820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9628585">
            <w:pPr>
              <w:spacing w:line="240" w:lineRule="auto"/>
            </w:pPr>
            <w:r>
              <w:rPr>
                <w:rFonts w:ascii="Aptos" w:hAnsi="Aptos"/>
                <w:b w:val="0"/>
                <w:sz w:val="19"/>
              </w:rPr>
              <w:t>Storage / Table Layer</w:t>
            </w:r>
          </w:p>
        </w:tc>
        <w:tc>
          <w:tcPr>
            <w:tcW w:w="5040" w:type="dxa"/>
            <w:vAlign w:val="center"/>
          </w:tcPr>
          <w:p w14:paraId="60AB6457">
            <w:pPr>
              <w:spacing w:line="240" w:lineRule="auto"/>
            </w:pPr>
            <w:r>
              <w:rPr>
                <w:rFonts w:ascii="Aptos" w:hAnsi="Aptos"/>
                <w:b w:val="0"/>
                <w:sz w:val="19"/>
              </w:rPr>
              <w:t>Delta Lake</w:t>
            </w:r>
          </w:p>
        </w:tc>
      </w:tr>
      <w:tr w14:paraId="40C6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1FB0FCC">
            <w:pPr>
              <w:spacing w:line="240" w:lineRule="auto"/>
            </w:pPr>
            <w:r>
              <w:rPr>
                <w:rFonts w:ascii="Aptos" w:hAnsi="Aptos"/>
                <w:b w:val="0"/>
                <w:sz w:val="19"/>
              </w:rPr>
              <w:t>BI Layer</w:t>
            </w:r>
          </w:p>
        </w:tc>
        <w:tc>
          <w:tcPr>
            <w:tcW w:w="5040" w:type="dxa"/>
            <w:vAlign w:val="center"/>
          </w:tcPr>
          <w:p w14:paraId="63A23B4C">
            <w:pPr>
              <w:spacing w:line="240" w:lineRule="auto"/>
            </w:pPr>
            <w:r>
              <w:rPr>
                <w:rFonts w:ascii="Aptos" w:hAnsi="Aptos"/>
                <w:b w:val="0"/>
                <w:sz w:val="19"/>
              </w:rPr>
              <w:t>Power BI</w:t>
            </w:r>
          </w:p>
        </w:tc>
      </w:tr>
    </w:tbl>
    <w:p w14:paraId="37045708">
      <w:r>
        <w:t>ERA5 is selected to provide a consistent multi-decade historical dataset. The project treats it as reanalysis data rather than claiming that every value is a direct measurement from a weather station at the exact city location.</w:t>
      </w:r>
    </w:p>
    <w:p w14:paraId="23FA4D5E">
      <w:pPr>
        <w:pStyle w:val="3"/>
      </w:pPr>
      <w:r>
        <w:t>2.1 Planned Production Cities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7C77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33A0D714">
            <w:pPr>
              <w:spacing w:line="240" w:lineRule="auto"/>
            </w:pPr>
            <w:r>
              <w:rPr>
                <w:rFonts w:ascii="Aptos" w:hAnsi="Aptos"/>
                <w:b/>
                <w:sz w:val="19"/>
              </w:rPr>
              <w:t>Region</w:t>
            </w:r>
          </w:p>
        </w:tc>
        <w:tc>
          <w:tcPr>
            <w:tcW w:w="5040" w:type="dxa"/>
            <w:shd w:val="clear" w:color="auto" w:fill="D9EAF7"/>
            <w:vAlign w:val="center"/>
          </w:tcPr>
          <w:p w14:paraId="6EF8BE28">
            <w:pPr>
              <w:spacing w:line="240" w:lineRule="auto"/>
            </w:pPr>
            <w:r>
              <w:rPr>
                <w:rFonts w:ascii="Aptos" w:hAnsi="Aptos"/>
                <w:b/>
                <w:sz w:val="19"/>
              </w:rPr>
              <w:t>Cities</w:t>
            </w:r>
          </w:p>
        </w:tc>
      </w:tr>
      <w:tr w14:paraId="1CC1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3CD507D">
            <w:pPr>
              <w:spacing w:line="240" w:lineRule="auto"/>
            </w:pPr>
            <w:r>
              <w:rPr>
                <w:rFonts w:ascii="Aptos" w:hAnsi="Aptos"/>
                <w:b w:val="0"/>
                <w:sz w:val="19"/>
              </w:rPr>
              <w:t>Northern Europe</w:t>
            </w:r>
          </w:p>
        </w:tc>
        <w:tc>
          <w:tcPr>
            <w:tcW w:w="5040" w:type="dxa"/>
            <w:vAlign w:val="center"/>
          </w:tcPr>
          <w:p w14:paraId="621A55DB">
            <w:pPr>
              <w:spacing w:line="240" w:lineRule="auto"/>
            </w:pPr>
            <w:r>
              <w:rPr>
                <w:rFonts w:ascii="Aptos" w:hAnsi="Aptos"/>
                <w:b w:val="0"/>
                <w:sz w:val="19"/>
              </w:rPr>
              <w:t>Oslo, Stockholm, Helsinki, Copenhagen</w:t>
            </w:r>
          </w:p>
        </w:tc>
      </w:tr>
      <w:tr w14:paraId="07B31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5554C79">
            <w:pPr>
              <w:spacing w:line="240" w:lineRule="auto"/>
            </w:pPr>
            <w:r>
              <w:rPr>
                <w:rFonts w:ascii="Aptos" w:hAnsi="Aptos"/>
                <w:b w:val="0"/>
                <w:sz w:val="19"/>
              </w:rPr>
              <w:t>Western Europe</w:t>
            </w:r>
          </w:p>
        </w:tc>
        <w:tc>
          <w:tcPr>
            <w:tcW w:w="5040" w:type="dxa"/>
            <w:vAlign w:val="center"/>
          </w:tcPr>
          <w:p w14:paraId="78C7AF40">
            <w:pPr>
              <w:spacing w:line="240" w:lineRule="auto"/>
            </w:pPr>
            <w:r>
              <w:rPr>
                <w:rFonts w:ascii="Aptos" w:hAnsi="Aptos"/>
                <w:b w:val="0"/>
                <w:sz w:val="19"/>
              </w:rPr>
              <w:t>London, Paris, Amsterdam, Dublin</w:t>
            </w:r>
          </w:p>
        </w:tc>
      </w:tr>
      <w:tr w14:paraId="0136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379B805">
            <w:pPr>
              <w:spacing w:line="240" w:lineRule="auto"/>
            </w:pPr>
            <w:r>
              <w:rPr>
                <w:rFonts w:ascii="Aptos" w:hAnsi="Aptos"/>
                <w:b w:val="0"/>
                <w:sz w:val="19"/>
              </w:rPr>
              <w:t>Central Europe</w:t>
            </w:r>
          </w:p>
        </w:tc>
        <w:tc>
          <w:tcPr>
            <w:tcW w:w="5040" w:type="dxa"/>
            <w:vAlign w:val="center"/>
          </w:tcPr>
          <w:p w14:paraId="4A4234B6">
            <w:pPr>
              <w:spacing w:line="240" w:lineRule="auto"/>
            </w:pPr>
            <w:r>
              <w:rPr>
                <w:rFonts w:ascii="Aptos" w:hAnsi="Aptos"/>
                <w:b w:val="0"/>
                <w:sz w:val="19"/>
              </w:rPr>
              <w:t>Berlin, Vienna, Prague, Zurich</w:t>
            </w:r>
          </w:p>
        </w:tc>
      </w:tr>
      <w:tr w14:paraId="6844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6763E93">
            <w:pPr>
              <w:spacing w:line="240" w:lineRule="auto"/>
            </w:pPr>
            <w:r>
              <w:rPr>
                <w:rFonts w:ascii="Aptos" w:hAnsi="Aptos"/>
                <w:b w:val="0"/>
                <w:sz w:val="19"/>
              </w:rPr>
              <w:t>Southern Europe</w:t>
            </w:r>
          </w:p>
        </w:tc>
        <w:tc>
          <w:tcPr>
            <w:tcW w:w="5040" w:type="dxa"/>
            <w:vAlign w:val="center"/>
          </w:tcPr>
          <w:p w14:paraId="21C4C210">
            <w:pPr>
              <w:spacing w:line="240" w:lineRule="auto"/>
            </w:pPr>
            <w:r>
              <w:rPr>
                <w:rFonts w:ascii="Aptos" w:hAnsi="Aptos"/>
                <w:b w:val="0"/>
                <w:sz w:val="19"/>
              </w:rPr>
              <w:t>Madrid, Lisbon, Rome, Athens</w:t>
            </w:r>
          </w:p>
        </w:tc>
      </w:tr>
      <w:tr w14:paraId="32210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99CFB34">
            <w:pPr>
              <w:spacing w:line="240" w:lineRule="auto"/>
            </w:pPr>
            <w:r>
              <w:rPr>
                <w:rFonts w:ascii="Aptos" w:hAnsi="Aptos"/>
                <w:b w:val="0"/>
                <w:sz w:val="19"/>
              </w:rPr>
              <w:t>Eastern Europe</w:t>
            </w:r>
          </w:p>
        </w:tc>
        <w:tc>
          <w:tcPr>
            <w:tcW w:w="5040" w:type="dxa"/>
            <w:vAlign w:val="center"/>
          </w:tcPr>
          <w:p w14:paraId="730892DE">
            <w:pPr>
              <w:spacing w:line="240" w:lineRule="auto"/>
            </w:pPr>
            <w:r>
              <w:rPr>
                <w:rFonts w:ascii="Aptos" w:hAnsi="Aptos"/>
                <w:b w:val="0"/>
                <w:sz w:val="19"/>
              </w:rPr>
              <w:t>Warsaw, Budapest, Bucharest, Sofia</w:t>
            </w:r>
          </w:p>
        </w:tc>
      </w:tr>
    </w:tbl>
    <w:p w14:paraId="00E22304">
      <w:pPr>
        <w:pStyle w:val="3"/>
      </w:pPr>
      <w:r>
        <w:t>2.2 Weather Variables</w:t>
      </w:r>
    </w:p>
    <w:p w14:paraId="663DBAB5">
      <w:r>
        <w:t>Each hourly observation contains city, country, region and timestamp together with 12 weather variables: temperature_2m, relative_humidity_2m, apparent_temperature, precipitation, rain, snowfall, weather_code, pressure_msl, surface_pressure, cloud_cover, wind_speed_10m and wind_direction_10m.</w:t>
      </w:r>
    </w:p>
    <w:p w14:paraId="652B0D8B">
      <w:pPr>
        <w:pStyle w:val="2"/>
      </w:pPr>
      <w:r>
        <w:t>3. Ingestion Pattern: Full Load + Incremental Load</w:t>
      </w:r>
    </w:p>
    <w:p w14:paraId="0A5E271E">
      <w:r>
        <w:t>The pipeline is designed around two ingestion patterns. The Full Load establishes the historical baseline. After that baseline is created, Incremental Load processes only observations that have not already been successfully processed.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A181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54F8FF92">
            <w:pPr>
              <w:spacing w:line="240" w:lineRule="auto"/>
            </w:pPr>
            <w:r>
              <w:rPr>
                <w:rFonts w:ascii="Aptos" w:hAnsi="Aptos"/>
                <w:b/>
                <w:sz w:val="19"/>
              </w:rPr>
              <w:t>Load Type</w:t>
            </w:r>
          </w:p>
        </w:tc>
        <w:tc>
          <w:tcPr>
            <w:tcW w:w="3360" w:type="dxa"/>
            <w:shd w:val="clear" w:color="auto" w:fill="D9EAF7"/>
            <w:vAlign w:val="center"/>
          </w:tcPr>
          <w:p w14:paraId="71768729">
            <w:pPr>
              <w:spacing w:line="240" w:lineRule="auto"/>
            </w:pPr>
            <w:r>
              <w:rPr>
                <w:rFonts w:ascii="Aptos" w:hAnsi="Aptos"/>
                <w:b/>
                <w:sz w:val="19"/>
              </w:rPr>
              <w:t>Design</w:t>
            </w:r>
          </w:p>
        </w:tc>
        <w:tc>
          <w:tcPr>
            <w:tcW w:w="3360" w:type="dxa"/>
            <w:shd w:val="clear" w:color="auto" w:fill="D9EAF7"/>
            <w:vAlign w:val="center"/>
          </w:tcPr>
          <w:p w14:paraId="10BCB8F9">
            <w:pPr>
              <w:spacing w:line="240" w:lineRule="auto"/>
            </w:pPr>
            <w:r>
              <w:rPr>
                <w:rFonts w:ascii="Aptos" w:hAnsi="Aptos"/>
                <w:b/>
                <w:sz w:val="19"/>
              </w:rPr>
              <w:t>Purpose</w:t>
            </w:r>
          </w:p>
        </w:tc>
      </w:tr>
      <w:tr w14:paraId="32CD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EB05F91">
            <w:pPr>
              <w:spacing w:line="240" w:lineRule="auto"/>
            </w:pPr>
            <w:r>
              <w:rPr>
                <w:rFonts w:ascii="Aptos" w:hAnsi="Aptos"/>
                <w:b w:val="0"/>
                <w:sz w:val="19"/>
              </w:rPr>
              <w:t>Full Load</w:t>
            </w:r>
          </w:p>
        </w:tc>
        <w:tc>
          <w:tcPr>
            <w:tcW w:w="3360" w:type="dxa"/>
            <w:vAlign w:val="center"/>
          </w:tcPr>
          <w:p w14:paraId="6584CDAF">
            <w:pPr>
              <w:spacing w:line="240" w:lineRule="auto"/>
            </w:pPr>
            <w:r>
              <w:rPr>
                <w:rFonts w:ascii="Aptos" w:hAnsi="Aptos"/>
                <w:b w:val="0"/>
                <w:sz w:val="19"/>
              </w:rPr>
              <w:t>Fetch hourly ERA5 data for 20 cities from 1940 through 2025, processed in manageable batches such as city/year ranges.</w:t>
            </w:r>
          </w:p>
        </w:tc>
        <w:tc>
          <w:tcPr>
            <w:tcW w:w="3360" w:type="dxa"/>
            <w:vAlign w:val="center"/>
          </w:tcPr>
          <w:p w14:paraId="3ADFFCC4">
            <w:pPr>
              <w:spacing w:line="240" w:lineRule="auto"/>
            </w:pPr>
            <w:r>
              <w:rPr>
                <w:rFonts w:ascii="Aptos" w:hAnsi="Aptos"/>
                <w:b w:val="0"/>
                <w:sz w:val="19"/>
              </w:rPr>
              <w:t>Create the initial historical baseline.</w:t>
            </w:r>
          </w:p>
        </w:tc>
      </w:tr>
      <w:tr w14:paraId="75AC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F831186">
            <w:pPr>
              <w:spacing w:line="240" w:lineRule="auto"/>
            </w:pPr>
            <w:r>
              <w:rPr>
                <w:rFonts w:ascii="Aptos" w:hAnsi="Aptos"/>
                <w:b w:val="0"/>
                <w:sz w:val="19"/>
              </w:rPr>
              <w:t>Incremental Load</w:t>
            </w:r>
          </w:p>
        </w:tc>
        <w:tc>
          <w:tcPr>
            <w:tcW w:w="3360" w:type="dxa"/>
            <w:vAlign w:val="center"/>
          </w:tcPr>
          <w:p w14:paraId="681987F8">
            <w:pPr>
              <w:spacing w:line="240" w:lineRule="auto"/>
            </w:pPr>
            <w:r>
              <w:rPr>
                <w:rFonts w:ascii="Aptos" w:hAnsi="Aptos"/>
                <w:b w:val="0"/>
                <w:sz w:val="19"/>
              </w:rPr>
              <w:t>Use the last successfully processed timestamp (watermark) and request only newly available observations after it.</w:t>
            </w:r>
          </w:p>
        </w:tc>
        <w:tc>
          <w:tcPr>
            <w:tcW w:w="3360" w:type="dxa"/>
            <w:vAlign w:val="center"/>
          </w:tcPr>
          <w:p w14:paraId="6DD49959">
            <w:pPr>
              <w:spacing w:line="240" w:lineRule="auto"/>
            </w:pPr>
            <w:r>
              <w:rPr>
                <w:rFonts w:ascii="Aptos" w:hAnsi="Aptos"/>
                <w:b w:val="0"/>
                <w:sz w:val="19"/>
              </w:rPr>
              <w:t>Avoid repeatedly processing the complete historical dataset.</w:t>
            </w:r>
          </w:p>
        </w:tc>
      </w:tr>
    </w:tbl>
    <w:p w14:paraId="7C515CF5">
      <w:r>
        <w:t>Incremental processing reduces unnecessary API transfer, computation and storage work. The pipeline will use a watermark/checkpoint concept: the next ingestion begins after the latest successfully processed timestamp and only advances when the new batch is successfully handled.</w:t>
      </w:r>
    </w:p>
    <w:p w14:paraId="7D5F9EF2">
      <w:pPr>
        <w:pStyle w:val="2"/>
      </w:pPr>
      <w:r>
        <w:t>4. Data Samples &amp; Volume Estimation</w:t>
      </w:r>
    </w:p>
    <w:p w14:paraId="7F8C396D">
      <w:r>
        <w:t>Phase 1 includes two source-derived JSON samples. Five representative cities were selected so that the sample covers five European regions: London, Oslo, Berlin, Madrid and Warsaw.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0D9B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D9EAF7"/>
            <w:vAlign w:val="center"/>
          </w:tcPr>
          <w:p w14:paraId="58BFF156">
            <w:pPr>
              <w:spacing w:line="240" w:lineRule="auto"/>
            </w:pPr>
            <w:r>
              <w:rPr>
                <w:rFonts w:ascii="Aptos" w:hAnsi="Aptos"/>
                <w:b/>
                <w:sz w:val="19"/>
              </w:rPr>
              <w:t>Sample</w:t>
            </w:r>
          </w:p>
        </w:tc>
        <w:tc>
          <w:tcPr>
            <w:tcW w:w="2016" w:type="dxa"/>
            <w:shd w:val="clear" w:color="auto" w:fill="D9EAF7"/>
            <w:vAlign w:val="center"/>
          </w:tcPr>
          <w:p w14:paraId="54CB4909">
            <w:pPr>
              <w:spacing w:line="240" w:lineRule="auto"/>
            </w:pPr>
            <w:r>
              <w:rPr>
                <w:rFonts w:ascii="Aptos" w:hAnsi="Aptos"/>
                <w:b/>
                <w:sz w:val="19"/>
              </w:rPr>
              <w:t>Period</w:t>
            </w:r>
          </w:p>
        </w:tc>
        <w:tc>
          <w:tcPr>
            <w:tcW w:w="2016" w:type="dxa"/>
            <w:shd w:val="clear" w:color="auto" w:fill="D9EAF7"/>
            <w:vAlign w:val="center"/>
          </w:tcPr>
          <w:p w14:paraId="374B8B0F">
            <w:pPr>
              <w:spacing w:line="240" w:lineRule="auto"/>
            </w:pPr>
            <w:r>
              <w:rPr>
                <w:rFonts w:ascii="Aptos" w:hAnsi="Aptos"/>
                <w:b/>
                <w:sz w:val="19"/>
              </w:rPr>
              <w:t>Cities</w:t>
            </w:r>
          </w:p>
        </w:tc>
        <w:tc>
          <w:tcPr>
            <w:tcW w:w="2016" w:type="dxa"/>
            <w:shd w:val="clear" w:color="auto" w:fill="D9EAF7"/>
            <w:vAlign w:val="center"/>
          </w:tcPr>
          <w:p w14:paraId="06D07B76">
            <w:pPr>
              <w:spacing w:line="240" w:lineRule="auto"/>
            </w:pPr>
            <w:r>
              <w:rPr>
                <w:rFonts w:ascii="Aptos" w:hAnsi="Aptos"/>
                <w:b/>
                <w:sz w:val="19"/>
              </w:rPr>
              <w:t>Rows</w:t>
            </w:r>
          </w:p>
        </w:tc>
        <w:tc>
          <w:tcPr>
            <w:tcW w:w="2016" w:type="dxa"/>
            <w:shd w:val="clear" w:color="auto" w:fill="D9EAF7"/>
            <w:vAlign w:val="center"/>
          </w:tcPr>
          <w:p w14:paraId="5EA3960C">
            <w:pPr>
              <w:spacing w:line="240" w:lineRule="auto"/>
            </w:pPr>
            <w:r>
              <w:rPr>
                <w:rFonts w:ascii="Aptos" w:hAnsi="Aptos"/>
                <w:b/>
                <w:sz w:val="19"/>
              </w:rPr>
              <w:t>Size</w:t>
            </w:r>
          </w:p>
        </w:tc>
      </w:tr>
      <w:tr w14:paraId="6A5EC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E60BB59">
            <w:pPr>
              <w:spacing w:line="240" w:lineRule="auto"/>
            </w:pPr>
            <w:r>
              <w:rPr>
                <w:rFonts w:ascii="Aptos" w:hAnsi="Aptos"/>
                <w:b w:val="0"/>
                <w:sz w:val="19"/>
              </w:rPr>
              <w:t>Full Load Sample</w:t>
            </w:r>
          </w:p>
        </w:tc>
        <w:tc>
          <w:tcPr>
            <w:tcW w:w="2016" w:type="dxa"/>
            <w:vAlign w:val="center"/>
          </w:tcPr>
          <w:p w14:paraId="18B875D7">
            <w:pPr>
              <w:spacing w:line="240" w:lineRule="auto"/>
            </w:pPr>
            <w:r>
              <w:rPr>
                <w:rFonts w:ascii="Aptos" w:hAnsi="Aptos"/>
                <w:b w:val="0"/>
                <w:sz w:val="19"/>
              </w:rPr>
              <w:t>01 Jan 2024 – 31 Dec 2024</w:t>
            </w:r>
          </w:p>
        </w:tc>
        <w:tc>
          <w:tcPr>
            <w:tcW w:w="2016" w:type="dxa"/>
            <w:vAlign w:val="center"/>
          </w:tcPr>
          <w:p w14:paraId="4A1F9194">
            <w:pPr>
              <w:spacing w:line="240" w:lineRule="auto"/>
            </w:pPr>
            <w:r>
              <w:rPr>
                <w:rFonts w:ascii="Aptos" w:hAnsi="Aptos"/>
                <w:b w:val="0"/>
                <w:sz w:val="19"/>
              </w:rPr>
              <w:t>5</w:t>
            </w:r>
          </w:p>
        </w:tc>
        <w:tc>
          <w:tcPr>
            <w:tcW w:w="2016" w:type="dxa"/>
            <w:vAlign w:val="center"/>
          </w:tcPr>
          <w:p w14:paraId="6CF471DA">
            <w:pPr>
              <w:spacing w:line="240" w:lineRule="auto"/>
            </w:pPr>
            <w:r>
              <w:rPr>
                <w:rFonts w:ascii="Aptos" w:hAnsi="Aptos"/>
                <w:b w:val="0"/>
                <w:sz w:val="19"/>
              </w:rPr>
              <w:t>43,920</w:t>
            </w:r>
          </w:p>
        </w:tc>
        <w:tc>
          <w:tcPr>
            <w:tcW w:w="2016" w:type="dxa"/>
            <w:vAlign w:val="center"/>
          </w:tcPr>
          <w:p w14:paraId="2B736B2C">
            <w:pPr>
              <w:spacing w:line="240" w:lineRule="auto"/>
            </w:pPr>
            <w:r>
              <w:rPr>
                <w:rFonts w:ascii="Aptos" w:hAnsi="Aptos"/>
                <w:b w:val="0"/>
                <w:sz w:val="19"/>
              </w:rPr>
              <w:t>~15.79 MB</w:t>
            </w:r>
          </w:p>
        </w:tc>
      </w:tr>
      <w:tr w14:paraId="224F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433A659">
            <w:pPr>
              <w:spacing w:line="240" w:lineRule="auto"/>
            </w:pPr>
            <w:r>
              <w:rPr>
                <w:rFonts w:ascii="Aptos" w:hAnsi="Aptos"/>
                <w:b w:val="0"/>
                <w:sz w:val="19"/>
              </w:rPr>
              <w:t>Incremental Sample</w:t>
            </w:r>
          </w:p>
        </w:tc>
        <w:tc>
          <w:tcPr>
            <w:tcW w:w="2016" w:type="dxa"/>
            <w:vAlign w:val="center"/>
          </w:tcPr>
          <w:p w14:paraId="4C19DF26">
            <w:pPr>
              <w:spacing w:line="240" w:lineRule="auto"/>
            </w:pPr>
            <w:r>
              <w:rPr>
                <w:rFonts w:ascii="Aptos" w:hAnsi="Aptos"/>
                <w:b w:val="0"/>
                <w:sz w:val="19"/>
              </w:rPr>
              <w:t>01 Jan 2025 – 07 Jan 2025</w:t>
            </w:r>
          </w:p>
        </w:tc>
        <w:tc>
          <w:tcPr>
            <w:tcW w:w="2016" w:type="dxa"/>
            <w:vAlign w:val="center"/>
          </w:tcPr>
          <w:p w14:paraId="241AF446">
            <w:pPr>
              <w:spacing w:line="240" w:lineRule="auto"/>
            </w:pPr>
            <w:r>
              <w:rPr>
                <w:rFonts w:ascii="Aptos" w:hAnsi="Aptos"/>
                <w:b w:val="0"/>
                <w:sz w:val="19"/>
              </w:rPr>
              <w:t>5</w:t>
            </w:r>
          </w:p>
        </w:tc>
        <w:tc>
          <w:tcPr>
            <w:tcW w:w="2016" w:type="dxa"/>
            <w:vAlign w:val="center"/>
          </w:tcPr>
          <w:p w14:paraId="2CAC9524">
            <w:pPr>
              <w:spacing w:line="240" w:lineRule="auto"/>
            </w:pPr>
            <w:r>
              <w:rPr>
                <w:rFonts w:ascii="Aptos" w:hAnsi="Aptos"/>
                <w:b w:val="0"/>
                <w:sz w:val="19"/>
              </w:rPr>
              <w:t>840</w:t>
            </w:r>
          </w:p>
        </w:tc>
        <w:tc>
          <w:tcPr>
            <w:tcW w:w="2016" w:type="dxa"/>
            <w:vAlign w:val="center"/>
          </w:tcPr>
          <w:p w14:paraId="5F6561DA">
            <w:pPr>
              <w:spacing w:line="240" w:lineRule="auto"/>
            </w:pPr>
            <w:r>
              <w:rPr>
                <w:rFonts w:ascii="Aptos" w:hAnsi="Aptos"/>
                <w:b w:val="0"/>
                <w:sz w:val="19"/>
              </w:rPr>
              <w:t>~0.302 MB</w:t>
            </w:r>
          </w:p>
        </w:tc>
      </w:tr>
    </w:tbl>
    <w:p w14:paraId="6E2826EF">
      <w:r>
        <w:t>The Full Load sample contains a complete leap year at hourly granularity: 5 cities × 366 days × 24 hours = 43,920 observations. The Incremental sample contains 5 cities × 7 days × 24 hours = 840 observations. The samples use the same schema so that the only conceptual difference is the ingestion time range.</w:t>
      </w:r>
    </w:p>
    <w:p w14:paraId="5E0133C2">
      <w:pPr>
        <w:pStyle w:val="3"/>
      </w:pPr>
    </w:p>
    <w:p w14:paraId="399A27C1">
      <w:pPr>
        <w:pStyle w:val="3"/>
      </w:pPr>
      <w:r>
        <w:t>4.1 Production Volume Estimate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AA9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2FBCB7EB">
            <w:pPr>
              <w:spacing w:line="240" w:lineRule="auto"/>
            </w:pPr>
            <w:r>
              <w:rPr>
                <w:rFonts w:ascii="Aptos" w:hAnsi="Aptos"/>
                <w:b/>
                <w:sz w:val="19"/>
              </w:rPr>
              <w:t>Measure</w:t>
            </w:r>
          </w:p>
        </w:tc>
        <w:tc>
          <w:tcPr>
            <w:tcW w:w="5040" w:type="dxa"/>
            <w:shd w:val="clear" w:color="auto" w:fill="D9EAF7"/>
            <w:vAlign w:val="center"/>
          </w:tcPr>
          <w:p w14:paraId="31481E78">
            <w:pPr>
              <w:spacing w:line="240" w:lineRule="auto"/>
            </w:pPr>
            <w:r>
              <w:rPr>
                <w:rFonts w:ascii="Aptos" w:hAnsi="Aptos"/>
                <w:b/>
                <w:sz w:val="19"/>
              </w:rPr>
              <w:t>Estimate</w:t>
            </w:r>
          </w:p>
        </w:tc>
      </w:tr>
      <w:tr w14:paraId="3EAD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624B025">
            <w:pPr>
              <w:spacing w:line="240" w:lineRule="auto"/>
            </w:pPr>
            <w:r>
              <w:rPr>
                <w:rFonts w:ascii="Aptos" w:hAnsi="Aptos"/>
                <w:b w:val="0"/>
                <w:sz w:val="19"/>
              </w:rPr>
              <w:t>Planned historical rows</w:t>
            </w:r>
          </w:p>
        </w:tc>
        <w:tc>
          <w:tcPr>
            <w:tcW w:w="5040" w:type="dxa"/>
            <w:vAlign w:val="center"/>
          </w:tcPr>
          <w:p w14:paraId="4FFB7D90">
            <w:pPr>
              <w:spacing w:line="240" w:lineRule="auto"/>
            </w:pPr>
            <w:r>
              <w:rPr>
                <w:rFonts w:ascii="Aptos" w:hAnsi="Aptos"/>
                <w:b w:val="0"/>
                <w:sz w:val="19"/>
              </w:rPr>
              <w:t>15,077,760 hourly observations</w:t>
            </w:r>
          </w:p>
        </w:tc>
      </w:tr>
      <w:tr w14:paraId="3B024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5EED246">
            <w:pPr>
              <w:spacing w:line="240" w:lineRule="auto"/>
            </w:pPr>
            <w:r>
              <w:rPr>
                <w:rFonts w:ascii="Aptos" w:hAnsi="Aptos"/>
                <w:b w:val="0"/>
                <w:sz w:val="19"/>
              </w:rPr>
              <w:t>Estimated raw JSON volume</w:t>
            </w:r>
          </w:p>
        </w:tc>
        <w:tc>
          <w:tcPr>
            <w:tcW w:w="5040" w:type="dxa"/>
            <w:vAlign w:val="center"/>
          </w:tcPr>
          <w:p w14:paraId="209BFD45">
            <w:pPr>
              <w:spacing w:line="240" w:lineRule="auto"/>
            </w:pPr>
            <w:r>
              <w:rPr>
                <w:rFonts w:ascii="Aptos" w:hAnsi="Aptos"/>
                <w:b w:val="0"/>
                <w:sz w:val="19"/>
              </w:rPr>
              <w:t>~5.29 GB</w:t>
            </w:r>
          </w:p>
        </w:tc>
      </w:tr>
      <w:tr w14:paraId="16D93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3689EED">
            <w:pPr>
              <w:spacing w:line="240" w:lineRule="auto"/>
            </w:pPr>
            <w:r>
              <w:rPr>
                <w:rFonts w:ascii="Aptos" w:hAnsi="Aptos"/>
                <w:b w:val="0"/>
                <w:sz w:val="19"/>
              </w:rPr>
              <w:t>Daily incremental volume</w:t>
            </w:r>
          </w:p>
        </w:tc>
        <w:tc>
          <w:tcPr>
            <w:tcW w:w="5040" w:type="dxa"/>
            <w:vAlign w:val="center"/>
          </w:tcPr>
          <w:p w14:paraId="1B2C594A">
            <w:pPr>
              <w:spacing w:line="240" w:lineRule="auto"/>
            </w:pPr>
            <w:r>
              <w:rPr>
                <w:rFonts w:ascii="Aptos" w:hAnsi="Aptos"/>
                <w:b w:val="0"/>
                <w:sz w:val="19"/>
              </w:rPr>
              <w:t>480 rows (~176.7 KB)</w:t>
            </w:r>
          </w:p>
        </w:tc>
      </w:tr>
      <w:tr w14:paraId="766CA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94C551F">
            <w:pPr>
              <w:spacing w:line="240" w:lineRule="auto"/>
            </w:pPr>
            <w:r>
              <w:rPr>
                <w:rFonts w:ascii="Aptos" w:hAnsi="Aptos"/>
                <w:b w:val="0"/>
                <w:sz w:val="19"/>
              </w:rPr>
              <w:t>Weekly incremental volume</w:t>
            </w:r>
          </w:p>
        </w:tc>
        <w:tc>
          <w:tcPr>
            <w:tcW w:w="5040" w:type="dxa"/>
            <w:vAlign w:val="center"/>
          </w:tcPr>
          <w:p w14:paraId="127353C0">
            <w:pPr>
              <w:spacing w:line="240" w:lineRule="auto"/>
            </w:pPr>
            <w:r>
              <w:rPr>
                <w:rFonts w:ascii="Aptos" w:hAnsi="Aptos"/>
                <w:b w:val="0"/>
                <w:sz w:val="19"/>
              </w:rPr>
              <w:t>3,360 rows (~1.21 MB)</w:t>
            </w:r>
          </w:p>
        </w:tc>
      </w:tr>
      <w:tr w14:paraId="52F0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4C29C7D">
            <w:pPr>
              <w:spacing w:line="240" w:lineRule="auto"/>
            </w:pPr>
            <w:r>
              <w:rPr>
                <w:rFonts w:ascii="Aptos" w:hAnsi="Aptos"/>
                <w:b w:val="0"/>
                <w:sz w:val="19"/>
              </w:rPr>
              <w:t>Monthly incremental volume</w:t>
            </w:r>
          </w:p>
        </w:tc>
        <w:tc>
          <w:tcPr>
            <w:tcW w:w="5040" w:type="dxa"/>
            <w:vAlign w:val="center"/>
          </w:tcPr>
          <w:p w14:paraId="24FDAB97">
            <w:pPr>
              <w:spacing w:line="240" w:lineRule="auto"/>
            </w:pPr>
            <w:r>
              <w:rPr>
                <w:rFonts w:ascii="Aptos" w:hAnsi="Aptos"/>
                <w:b w:val="0"/>
                <w:sz w:val="19"/>
              </w:rPr>
              <w:t>14,400 rows (~5.18 MB)</w:t>
            </w:r>
          </w:p>
        </w:tc>
      </w:tr>
      <w:tr w14:paraId="0DBF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2A05F45">
            <w:pPr>
              <w:spacing w:line="240" w:lineRule="auto"/>
            </w:pPr>
            <w:r>
              <w:rPr>
                <w:rFonts w:ascii="Aptos" w:hAnsi="Aptos"/>
                <w:b w:val="0"/>
                <w:sz w:val="19"/>
              </w:rPr>
              <w:t>Yearly incremental volume</w:t>
            </w:r>
          </w:p>
        </w:tc>
        <w:tc>
          <w:tcPr>
            <w:tcW w:w="5040" w:type="dxa"/>
            <w:vAlign w:val="center"/>
          </w:tcPr>
          <w:p w14:paraId="65DD36CC">
            <w:pPr>
              <w:spacing w:line="240" w:lineRule="auto"/>
            </w:pPr>
            <w:r>
              <w:rPr>
                <w:rFonts w:ascii="Aptos" w:hAnsi="Aptos"/>
                <w:b w:val="0"/>
                <w:sz w:val="19"/>
              </w:rPr>
              <w:t>175,320 rows (~63.04 MB)</w:t>
            </w:r>
          </w:p>
        </w:tc>
      </w:tr>
    </w:tbl>
    <w:p w14:paraId="46568C0A">
      <w:r>
        <w:t>The ~5.29 GB figure is an extrapolation from the final flattened 16-column JSON sample. Actual Delta/Parquet storage can differ because columnar formats and compression have different storage characteristics.</w:t>
      </w:r>
    </w:p>
    <w:p w14:paraId="7B4FFF3F">
      <w:pPr>
        <w:pStyle w:val="2"/>
      </w:pPr>
      <w:r>
        <w:t>5. Security, Privacy &amp; Compliance</w:t>
      </w:r>
    </w:p>
    <w:p w14:paraId="4EFA32D1">
      <w:r>
        <w:t>No Personally Identifiable Information (PII) is present in the planned dataset. The records describe environmental observations associated with public city locations and timestamps. They do not contain personal names, email addresses, phone numbers, user identifiers, home addresses, financial records, medical records or similar person-level information.</w:t>
      </w:r>
    </w:p>
    <w:p w14:paraId="01993CE8">
      <w:r>
        <w:t>Therefore, masking or hashing of personal fields is not required before Silver. However, Silver will still enforce data-quality controls such as schema validation, type conversion, null handling, duplicate removal and reasonable range checks. Only fields needed for the analytical purpose will be retained.</w:t>
      </w:r>
    </w:p>
    <w:p w14:paraId="1A465A5C">
      <w:pPr>
        <w:pStyle w:val="2"/>
      </w:pPr>
      <w:r>
        <w:t>6. High-Level Medallion Data Modeling</w:t>
      </w:r>
    </w:p>
    <w:p w14:paraId="2D9E9D89">
      <w:r>
        <w:t>The Medallion Architecture is used as a set of logical, progressive refinement boundaries. Data becomes more trusted and more useful as it moves from Bronze to Silver to Gold.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D99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4D5D96B8">
            <w:pPr>
              <w:spacing w:line="240" w:lineRule="auto"/>
            </w:pPr>
            <w:r>
              <w:rPr>
                <w:rFonts w:ascii="Aptos" w:hAnsi="Aptos"/>
                <w:b/>
                <w:sz w:val="19"/>
              </w:rPr>
              <w:t>Layer</w:t>
            </w:r>
          </w:p>
        </w:tc>
        <w:tc>
          <w:tcPr>
            <w:tcW w:w="3360" w:type="dxa"/>
            <w:shd w:val="clear" w:color="auto" w:fill="D9EAF7"/>
            <w:vAlign w:val="center"/>
          </w:tcPr>
          <w:p w14:paraId="3D30694E">
            <w:pPr>
              <w:spacing w:line="240" w:lineRule="auto"/>
            </w:pPr>
            <w:r>
              <w:rPr>
                <w:rFonts w:ascii="Aptos" w:hAnsi="Aptos"/>
                <w:b/>
                <w:sz w:val="19"/>
              </w:rPr>
              <w:t>Planned Table(s)</w:t>
            </w:r>
          </w:p>
        </w:tc>
        <w:tc>
          <w:tcPr>
            <w:tcW w:w="3360" w:type="dxa"/>
            <w:shd w:val="clear" w:color="auto" w:fill="D9EAF7"/>
            <w:vAlign w:val="center"/>
          </w:tcPr>
          <w:p w14:paraId="4778BBBD">
            <w:pPr>
              <w:spacing w:line="240" w:lineRule="auto"/>
            </w:pPr>
            <w:r>
              <w:rPr>
                <w:rFonts w:ascii="Aptos" w:hAnsi="Aptos"/>
                <w:b/>
                <w:sz w:val="19"/>
              </w:rPr>
              <w:t>Role</w:t>
            </w:r>
          </w:p>
        </w:tc>
      </w:tr>
      <w:tr w14:paraId="1163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4BB1AE7">
            <w:pPr>
              <w:spacing w:line="240" w:lineRule="auto"/>
            </w:pPr>
            <w:r>
              <w:rPr>
                <w:rFonts w:ascii="Aptos" w:hAnsi="Aptos"/>
                <w:b w:val="0"/>
                <w:sz w:val="19"/>
              </w:rPr>
              <w:t>Bronze</w:t>
            </w:r>
          </w:p>
        </w:tc>
        <w:tc>
          <w:tcPr>
            <w:tcW w:w="3360" w:type="dxa"/>
            <w:vAlign w:val="center"/>
          </w:tcPr>
          <w:p w14:paraId="30017A2B">
            <w:pPr>
              <w:spacing w:line="240" w:lineRule="auto"/>
            </w:pPr>
            <w:r>
              <w:rPr>
                <w:rFonts w:ascii="Aptos" w:hAnsi="Aptos"/>
                <w:b w:val="0"/>
                <w:sz w:val="19"/>
              </w:rPr>
              <w:t>bronze_weather_raw</w:t>
            </w:r>
          </w:p>
        </w:tc>
        <w:tc>
          <w:tcPr>
            <w:tcW w:w="3360" w:type="dxa"/>
            <w:vAlign w:val="center"/>
          </w:tcPr>
          <w:p w14:paraId="4EA21998">
            <w:pPr>
              <w:spacing w:line="240" w:lineRule="auto"/>
            </w:pPr>
            <w:r>
              <w:rPr>
                <w:rFonts w:ascii="Aptos" w:hAnsi="Aptos"/>
                <w:b w:val="0"/>
                <w:sz w:val="19"/>
              </w:rPr>
              <w:t>Validated raw/source-oriented ingestion with ingestion metadata. Preserve source data as close as practical to the received payload.</w:t>
            </w:r>
          </w:p>
        </w:tc>
      </w:tr>
      <w:tr w14:paraId="6D9D0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DD91868">
            <w:pPr>
              <w:spacing w:line="240" w:lineRule="auto"/>
            </w:pPr>
            <w:r>
              <w:rPr>
                <w:rFonts w:ascii="Aptos" w:hAnsi="Aptos"/>
                <w:b w:val="0"/>
                <w:sz w:val="19"/>
              </w:rPr>
              <w:t>Silver</w:t>
            </w:r>
          </w:p>
        </w:tc>
        <w:tc>
          <w:tcPr>
            <w:tcW w:w="3360" w:type="dxa"/>
            <w:vAlign w:val="center"/>
          </w:tcPr>
          <w:p w14:paraId="59B33204">
            <w:pPr>
              <w:spacing w:line="240" w:lineRule="auto"/>
            </w:pPr>
            <w:r>
              <w:rPr>
                <w:rFonts w:ascii="Aptos" w:hAnsi="Aptos"/>
                <w:b w:val="0"/>
                <w:sz w:val="19"/>
              </w:rPr>
              <w:t>silver_weather_observations</w:t>
            </w:r>
          </w:p>
        </w:tc>
        <w:tc>
          <w:tcPr>
            <w:tcW w:w="3360" w:type="dxa"/>
            <w:vAlign w:val="center"/>
          </w:tcPr>
          <w:p w14:paraId="65B03187">
            <w:pPr>
              <w:spacing w:line="240" w:lineRule="auto"/>
            </w:pPr>
            <w:r>
              <w:rPr>
                <w:rFonts w:ascii="Aptos" w:hAnsi="Aptos"/>
                <w:b w:val="0"/>
                <w:sz w:val="19"/>
              </w:rPr>
              <w:t>Clean, typed, deduplicated, historized/read-optimized hourly observations; one row per city per hour.</w:t>
            </w:r>
          </w:p>
        </w:tc>
      </w:tr>
      <w:tr w14:paraId="25BF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2EC06D7">
            <w:pPr>
              <w:spacing w:line="240" w:lineRule="auto"/>
            </w:pPr>
            <w:r>
              <w:rPr>
                <w:rFonts w:ascii="Aptos" w:hAnsi="Aptos"/>
                <w:b w:val="0"/>
                <w:sz w:val="19"/>
              </w:rPr>
              <w:t>Gold</w:t>
            </w:r>
          </w:p>
        </w:tc>
        <w:tc>
          <w:tcPr>
            <w:tcW w:w="3360" w:type="dxa"/>
            <w:vAlign w:val="center"/>
          </w:tcPr>
          <w:p w14:paraId="5F359576">
            <w:pPr>
              <w:spacing w:line="240" w:lineRule="auto"/>
            </w:pPr>
            <w:r>
              <w:rPr>
                <w:rFonts w:ascii="Aptos" w:hAnsi="Aptos"/>
                <w:b w:val="0"/>
                <w:sz w:val="19"/>
              </w:rPr>
              <w:t>gold_daily_weather; gold_monthly_climate; gold_annual_climate; gold_extreme_weather</w:t>
            </w:r>
          </w:p>
        </w:tc>
        <w:tc>
          <w:tcPr>
            <w:tcW w:w="3360" w:type="dxa"/>
            <w:vAlign w:val="center"/>
          </w:tcPr>
          <w:p w14:paraId="308FBD4D">
            <w:pPr>
              <w:spacing w:line="240" w:lineRule="auto"/>
            </w:pPr>
            <w:r>
              <w:rPr>
                <w:rFonts w:ascii="Aptos" w:hAnsi="Aptos"/>
                <w:b w:val="0"/>
                <w:sz w:val="19"/>
              </w:rPr>
              <w:t>Aggregated, business-ready tables optimized for analytical questions and dashboard consumption.</w:t>
            </w:r>
          </w:p>
        </w:tc>
      </w:tr>
    </w:tbl>
    <w:p w14:paraId="71956961">
      <w:pPr>
        <w:pStyle w:val="3"/>
      </w:pPr>
      <w:r>
        <w:t>6.1 Bronze Layer</w:t>
      </w:r>
    </w:p>
    <w:p w14:paraId="4F3E59FD">
      <w:r>
        <w:t>Bronze is the landing/source-oriented layer. The source payload is retained with ingestion metadata such as source, city, latitude, longitude, ingestion_timestamp, batch_id and load_type (FULL or INCREMENTAL). This provides traceability and makes it possible to reprocess downstream layers without repeatedly calling the source API.</w:t>
      </w:r>
    </w:p>
    <w:p w14:paraId="3192D8FE">
      <w:pPr>
        <w:pStyle w:val="3"/>
      </w:pPr>
      <w:r>
        <w:t>6.2 Silver Layer</w:t>
      </w:r>
    </w:p>
    <w:p w14:paraId="212F4E11">
      <w:r>
        <w:t>Silver converts the source structure into a clean analytical structure with one observation per city per hour. Transformations include flattening source arrays, enforcing the expected schema, casting timestamp strings to TIMESTAMP, handling nulls, removing duplicate city-timestamp records, validating ranges and standardizing units.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B30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0CE65770">
            <w:pPr>
              <w:spacing w:line="240" w:lineRule="auto"/>
            </w:pPr>
            <w:r>
              <w:rPr>
                <w:rFonts w:ascii="Aptos" w:hAnsi="Aptos"/>
                <w:b/>
                <w:sz w:val="19"/>
              </w:rPr>
              <w:t>Silver Field Group</w:t>
            </w:r>
          </w:p>
        </w:tc>
        <w:tc>
          <w:tcPr>
            <w:tcW w:w="5040" w:type="dxa"/>
            <w:shd w:val="clear" w:color="auto" w:fill="D9EAF7"/>
            <w:vAlign w:val="center"/>
          </w:tcPr>
          <w:p w14:paraId="1182F064">
            <w:pPr>
              <w:spacing w:line="240" w:lineRule="auto"/>
            </w:pPr>
            <w:r>
              <w:rPr>
                <w:rFonts w:ascii="Aptos" w:hAnsi="Aptos"/>
                <w:b/>
                <w:sz w:val="19"/>
              </w:rPr>
              <w:t>Examples</w:t>
            </w:r>
          </w:p>
        </w:tc>
      </w:tr>
      <w:tr w14:paraId="3D8A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934D2CA">
            <w:pPr>
              <w:spacing w:line="240" w:lineRule="auto"/>
            </w:pPr>
            <w:r>
              <w:rPr>
                <w:rFonts w:ascii="Aptos" w:hAnsi="Aptos"/>
                <w:b w:val="0"/>
                <w:sz w:val="19"/>
              </w:rPr>
              <w:t>Location</w:t>
            </w:r>
          </w:p>
        </w:tc>
        <w:tc>
          <w:tcPr>
            <w:tcW w:w="5040" w:type="dxa"/>
            <w:vAlign w:val="center"/>
          </w:tcPr>
          <w:p w14:paraId="372CEF5A">
            <w:pPr>
              <w:spacing w:line="240" w:lineRule="auto"/>
            </w:pPr>
            <w:r>
              <w:rPr>
                <w:rFonts w:ascii="Aptos" w:hAnsi="Aptos"/>
                <w:b w:val="0"/>
                <w:sz w:val="19"/>
              </w:rPr>
              <w:t>city, country, region</w:t>
            </w:r>
          </w:p>
        </w:tc>
      </w:tr>
      <w:tr w14:paraId="0BBFE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D393F03">
            <w:pPr>
              <w:spacing w:line="240" w:lineRule="auto"/>
            </w:pPr>
            <w:r>
              <w:rPr>
                <w:rFonts w:ascii="Aptos" w:hAnsi="Aptos"/>
                <w:b w:val="0"/>
                <w:sz w:val="19"/>
              </w:rPr>
              <w:t>Time</w:t>
            </w:r>
          </w:p>
        </w:tc>
        <w:tc>
          <w:tcPr>
            <w:tcW w:w="5040" w:type="dxa"/>
            <w:vAlign w:val="center"/>
          </w:tcPr>
          <w:p w14:paraId="09763514">
            <w:pPr>
              <w:spacing w:line="240" w:lineRule="auto"/>
            </w:pPr>
            <w:r>
              <w:rPr>
                <w:rFonts w:ascii="Aptos" w:hAnsi="Aptos"/>
                <w:b w:val="0"/>
                <w:sz w:val="19"/>
              </w:rPr>
              <w:t>timestamp</w:t>
            </w:r>
          </w:p>
        </w:tc>
      </w:tr>
      <w:tr w14:paraId="6AEE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279BC4F">
            <w:pPr>
              <w:spacing w:line="240" w:lineRule="auto"/>
            </w:pPr>
            <w:r>
              <w:rPr>
                <w:rFonts w:ascii="Aptos" w:hAnsi="Aptos"/>
                <w:b w:val="0"/>
                <w:sz w:val="19"/>
              </w:rPr>
              <w:t>Temperature / Humidity</w:t>
            </w:r>
          </w:p>
        </w:tc>
        <w:tc>
          <w:tcPr>
            <w:tcW w:w="5040" w:type="dxa"/>
            <w:vAlign w:val="center"/>
          </w:tcPr>
          <w:p w14:paraId="67B5C33C">
            <w:pPr>
              <w:spacing w:line="240" w:lineRule="auto"/>
            </w:pPr>
            <w:r>
              <w:rPr>
                <w:rFonts w:ascii="Aptos" w:hAnsi="Aptos"/>
                <w:b w:val="0"/>
                <w:sz w:val="19"/>
              </w:rPr>
              <w:t>temperature_2m, apparent_temperature, relative_humidity_2m</w:t>
            </w:r>
          </w:p>
        </w:tc>
      </w:tr>
      <w:tr w14:paraId="4192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352C256">
            <w:pPr>
              <w:spacing w:line="240" w:lineRule="auto"/>
            </w:pPr>
            <w:r>
              <w:rPr>
                <w:rFonts w:ascii="Aptos" w:hAnsi="Aptos"/>
                <w:b w:val="0"/>
                <w:sz w:val="19"/>
              </w:rPr>
              <w:t>Precipitation</w:t>
            </w:r>
          </w:p>
        </w:tc>
        <w:tc>
          <w:tcPr>
            <w:tcW w:w="5040" w:type="dxa"/>
            <w:vAlign w:val="center"/>
          </w:tcPr>
          <w:p w14:paraId="784B4078">
            <w:pPr>
              <w:spacing w:line="240" w:lineRule="auto"/>
            </w:pPr>
            <w:r>
              <w:rPr>
                <w:rFonts w:ascii="Aptos" w:hAnsi="Aptos"/>
                <w:b w:val="0"/>
                <w:sz w:val="19"/>
              </w:rPr>
              <w:t>precipitation, rain, snowfall, weather_code</w:t>
            </w:r>
          </w:p>
        </w:tc>
      </w:tr>
      <w:tr w14:paraId="1E2F0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D921A1C">
            <w:pPr>
              <w:spacing w:line="240" w:lineRule="auto"/>
            </w:pPr>
            <w:r>
              <w:rPr>
                <w:rFonts w:ascii="Aptos" w:hAnsi="Aptos"/>
                <w:b w:val="0"/>
                <w:sz w:val="19"/>
              </w:rPr>
              <w:t>Pressure / Cloud</w:t>
            </w:r>
          </w:p>
        </w:tc>
        <w:tc>
          <w:tcPr>
            <w:tcW w:w="5040" w:type="dxa"/>
            <w:vAlign w:val="center"/>
          </w:tcPr>
          <w:p w14:paraId="3BD2983D">
            <w:pPr>
              <w:spacing w:line="240" w:lineRule="auto"/>
            </w:pPr>
            <w:r>
              <w:rPr>
                <w:rFonts w:ascii="Aptos" w:hAnsi="Aptos"/>
                <w:b w:val="0"/>
                <w:sz w:val="19"/>
              </w:rPr>
              <w:t>pressure_msl, surface_pressure, cloud_cover</w:t>
            </w:r>
          </w:p>
        </w:tc>
      </w:tr>
      <w:tr w14:paraId="3D9F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4C23C39">
            <w:pPr>
              <w:spacing w:line="240" w:lineRule="auto"/>
            </w:pPr>
            <w:r>
              <w:rPr>
                <w:rFonts w:ascii="Aptos" w:hAnsi="Aptos"/>
                <w:b w:val="0"/>
                <w:sz w:val="19"/>
              </w:rPr>
              <w:t>Wind</w:t>
            </w:r>
          </w:p>
        </w:tc>
        <w:tc>
          <w:tcPr>
            <w:tcW w:w="5040" w:type="dxa"/>
            <w:vAlign w:val="center"/>
          </w:tcPr>
          <w:p w14:paraId="6A5C66C8">
            <w:pPr>
              <w:spacing w:line="240" w:lineRule="auto"/>
            </w:pPr>
            <w:r>
              <w:rPr>
                <w:rFonts w:ascii="Aptos" w:hAnsi="Aptos"/>
                <w:b w:val="0"/>
                <w:sz w:val="19"/>
              </w:rPr>
              <w:t>wind_speed_10m, wind_direction_10m</w:t>
            </w:r>
          </w:p>
        </w:tc>
      </w:tr>
    </w:tbl>
    <w:p w14:paraId="34769655">
      <w:pPr>
        <w:pStyle w:val="3"/>
      </w:pPr>
      <w:r>
        <w:t>6.3 Gold Layer</w:t>
      </w:r>
    </w:p>
    <w:p w14:paraId="5A8B0614">
      <w:r>
        <w:t>Gold is optimized for value creation and business-ready analysis. Instead of forcing Power BI to repeatedly aggregate millions of hourly rows, Spark will create daily, monthly, annual and extreme-weather summary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222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51F80647">
            <w:pPr>
              <w:spacing w:line="240" w:lineRule="auto"/>
            </w:pPr>
            <w:r>
              <w:rPr>
                <w:rFonts w:ascii="Aptos" w:hAnsi="Aptos"/>
                <w:b/>
                <w:sz w:val="19"/>
              </w:rPr>
              <w:t>Gold Output</w:t>
            </w:r>
          </w:p>
        </w:tc>
        <w:tc>
          <w:tcPr>
            <w:tcW w:w="5040" w:type="dxa"/>
            <w:shd w:val="clear" w:color="auto" w:fill="D9EAF7"/>
            <w:vAlign w:val="center"/>
          </w:tcPr>
          <w:p w14:paraId="7130793B">
            <w:pPr>
              <w:spacing w:line="240" w:lineRule="auto"/>
            </w:pPr>
            <w:r>
              <w:rPr>
                <w:rFonts w:ascii="Aptos" w:hAnsi="Aptos"/>
                <w:b/>
                <w:sz w:val="19"/>
              </w:rPr>
              <w:t>Example Measures</w:t>
            </w:r>
          </w:p>
        </w:tc>
      </w:tr>
      <w:tr w14:paraId="0C3AC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13AA5AD">
            <w:pPr>
              <w:spacing w:line="240" w:lineRule="auto"/>
            </w:pPr>
            <w:r>
              <w:rPr>
                <w:rFonts w:ascii="Aptos" w:hAnsi="Aptos"/>
                <w:b w:val="0"/>
                <w:sz w:val="19"/>
              </w:rPr>
              <w:t>Daily Weather</w:t>
            </w:r>
          </w:p>
        </w:tc>
        <w:tc>
          <w:tcPr>
            <w:tcW w:w="5040" w:type="dxa"/>
            <w:vAlign w:val="center"/>
          </w:tcPr>
          <w:p w14:paraId="6B1D5DBD">
            <w:pPr>
              <w:spacing w:line="240" w:lineRule="auto"/>
            </w:pPr>
            <w:r>
              <w:rPr>
                <w:rFonts w:ascii="Aptos" w:hAnsi="Aptos"/>
                <w:b w:val="0"/>
                <w:sz w:val="19"/>
              </w:rPr>
              <w:t>daily average/min/max temperature, daily precipitation, snowfall</w:t>
            </w:r>
          </w:p>
        </w:tc>
      </w:tr>
      <w:tr w14:paraId="1577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7ACB319">
            <w:pPr>
              <w:spacing w:line="240" w:lineRule="auto"/>
            </w:pPr>
            <w:r>
              <w:rPr>
                <w:rFonts w:ascii="Aptos" w:hAnsi="Aptos"/>
                <w:b w:val="0"/>
                <w:sz w:val="19"/>
              </w:rPr>
              <w:t>Monthly Climate</w:t>
            </w:r>
          </w:p>
        </w:tc>
        <w:tc>
          <w:tcPr>
            <w:tcW w:w="5040" w:type="dxa"/>
            <w:vAlign w:val="center"/>
          </w:tcPr>
          <w:p w14:paraId="12D03386">
            <w:pPr>
              <w:spacing w:line="240" w:lineRule="auto"/>
            </w:pPr>
            <w:r>
              <w:rPr>
                <w:rFonts w:ascii="Aptos" w:hAnsi="Aptos"/>
                <w:b w:val="0"/>
                <w:sz w:val="19"/>
              </w:rPr>
              <w:t>monthly average temperature, precipitation totals, seasonal comparisons</w:t>
            </w:r>
          </w:p>
        </w:tc>
      </w:tr>
      <w:tr w14:paraId="4432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F670C7F">
            <w:pPr>
              <w:spacing w:line="240" w:lineRule="auto"/>
            </w:pPr>
            <w:r>
              <w:rPr>
                <w:rFonts w:ascii="Aptos" w:hAnsi="Aptos"/>
                <w:b w:val="0"/>
                <w:sz w:val="19"/>
              </w:rPr>
              <w:t>Annual Climate</w:t>
            </w:r>
          </w:p>
        </w:tc>
        <w:tc>
          <w:tcPr>
            <w:tcW w:w="5040" w:type="dxa"/>
            <w:vAlign w:val="center"/>
          </w:tcPr>
          <w:p w14:paraId="351E3D00">
            <w:pPr>
              <w:spacing w:line="240" w:lineRule="auto"/>
            </w:pPr>
            <w:r>
              <w:rPr>
                <w:rFonts w:ascii="Aptos" w:hAnsi="Aptos"/>
                <w:b w:val="0"/>
                <w:sz w:val="19"/>
              </w:rPr>
              <w:t>annual avg/min/max temperature, total precipitation, average humidity</w:t>
            </w:r>
          </w:p>
        </w:tc>
      </w:tr>
      <w:tr w14:paraId="3F732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7ED527D">
            <w:pPr>
              <w:spacing w:line="240" w:lineRule="auto"/>
            </w:pPr>
            <w:r>
              <w:rPr>
                <w:rFonts w:ascii="Aptos" w:hAnsi="Aptos"/>
                <w:b w:val="0"/>
                <w:sz w:val="19"/>
              </w:rPr>
              <w:t>Extreme Weather</w:t>
            </w:r>
          </w:p>
        </w:tc>
        <w:tc>
          <w:tcPr>
            <w:tcW w:w="5040" w:type="dxa"/>
            <w:vAlign w:val="center"/>
          </w:tcPr>
          <w:p w14:paraId="73344641">
            <w:pPr>
              <w:spacing w:line="240" w:lineRule="auto"/>
            </w:pPr>
            <w:r>
              <w:rPr>
                <w:rFonts w:ascii="Aptos" w:hAnsi="Aptos"/>
                <w:b w:val="0"/>
                <w:sz w:val="19"/>
              </w:rPr>
              <w:t>hot-day counts, heavy-rainfall counts/observations, extreme temperature indicators</w:t>
            </w:r>
          </w:p>
        </w:tc>
      </w:tr>
    </w:tbl>
    <w:p w14:paraId="3A5AF38F">
      <w:pPr>
        <w:pStyle w:val="2"/>
      </w:pPr>
      <w:r>
        <w:t>7. DAV Concepts Applied in the Project</w:t>
      </w:r>
    </w:p>
    <w:p w14:paraId="59802925">
      <w:r>
        <w:t>The project follows the Data Analysis Lifecycle as an iterative process rather than a one-time linear script. The analytical question determines what data is needed; the data is then acquired, prepared, explored and transformed into information for communication. If the available data cannot answer a question reliably, the question must be refined or appropriate additional data must be acquired.</w:t>
      </w:r>
    </w:p>
    <w:p w14:paraId="1CDE5EA2">
      <w:r>
        <w:t>Data preparation makes the observations valid, consistent and algorithm/analysis-ready. Exploratory Data Analysis (EDA) will be used to discover underlying patterns, spot anomalies and formulate hypotheses before final explanatory visualizations are produced.</w:t>
      </w:r>
    </w:p>
    <w:p w14:paraId="4C26F2CD">
      <w:r>
        <w:t>Apache Spark is used as a unified engine for large-scale distributed data processing. Instead of treating the project as one large single-machine script, the workload can be partitioned and processed in parallel. Spark uses DAG-based execution and can keep intermediate data in memory, while Delta Lake acts as the reliable table/storage layer. This separates the processing engine from the data-storage reliability layer.</w:t>
      </w:r>
    </w:p>
    <w:p w14:paraId="599F2290">
      <w:pPr>
        <w:pStyle w:val="2"/>
      </w:pPr>
      <w:r>
        <w:t>8. Business Questions &amp; BI Dashboard Plan</w:t>
      </w:r>
    </w:p>
    <w:p w14:paraId="598AAAF2">
      <w:r>
        <w:t>The Gold layer and Power BI dashboard will turn the processed weather history into interpretable climate-trend analytics. The dashboard will describe patterns and trends; it will not claim that a simple trend analysis proves causal climate attribution.</w:t>
      </w:r>
    </w:p>
    <w:p w14:paraId="2A5881DA">
      <w:pPr>
        <w:pStyle w:val="23"/>
      </w:pPr>
      <w:r>
        <w:t>How has annual average temperature changed across selected European cities from 1940 to 2025?</w:t>
      </w:r>
    </w:p>
    <w:p w14:paraId="712E94B1">
      <w:pPr>
        <w:pStyle w:val="23"/>
      </w:pPr>
      <w:r>
        <w:t>How do temperature and precipitation patterns differ by city, region, season and decade?</w:t>
      </w:r>
    </w:p>
    <w:p w14:paraId="5D9B51FD">
      <w:pPr>
        <w:pStyle w:val="23"/>
      </w:pPr>
      <w:r>
        <w:t>How frequently do selected extreme-weather indicators, such as very hot conditions or heavy-rainfall observations, occur over time?</w:t>
      </w:r>
    </w:p>
    <w:p w14:paraId="5FD4AACB">
      <w:pPr>
        <w:pStyle w:val="23"/>
      </w:pPr>
      <w:r>
        <w:t>Which cities or regions show notable differences in long-term weather patterns?</w:t>
      </w:r>
    </w:p>
    <w:p w14:paraId="42E55BA3">
      <w:pPr>
        <w:pStyle w:val="3"/>
      </w:pPr>
      <w:r>
        <w:t>8.1 Proposed Power BI Views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71D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3B67CD87">
            <w:pPr>
              <w:spacing w:line="240" w:lineRule="auto"/>
            </w:pPr>
            <w:r>
              <w:rPr>
                <w:rFonts w:ascii="Aptos" w:hAnsi="Aptos"/>
                <w:b/>
                <w:sz w:val="19"/>
              </w:rPr>
              <w:t>Dashboard View</w:t>
            </w:r>
          </w:p>
        </w:tc>
        <w:tc>
          <w:tcPr>
            <w:tcW w:w="5040" w:type="dxa"/>
            <w:shd w:val="clear" w:color="auto" w:fill="D9EAF7"/>
            <w:vAlign w:val="center"/>
          </w:tcPr>
          <w:p w14:paraId="115CEB24">
            <w:pPr>
              <w:spacing w:line="240" w:lineRule="auto"/>
            </w:pPr>
            <w:r>
              <w:rPr>
                <w:rFonts w:ascii="Aptos" w:hAnsi="Aptos"/>
                <w:b/>
                <w:sz w:val="19"/>
              </w:rPr>
              <w:t>Planned Visuals / Metrics</w:t>
            </w:r>
          </w:p>
        </w:tc>
      </w:tr>
      <w:tr w14:paraId="06D6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BE188B0">
            <w:pPr>
              <w:spacing w:line="240" w:lineRule="auto"/>
            </w:pPr>
            <w:r>
              <w:rPr>
                <w:rFonts w:ascii="Aptos" w:hAnsi="Aptos"/>
                <w:b w:val="0"/>
                <w:sz w:val="19"/>
              </w:rPr>
              <w:t>European Climate Overview</w:t>
            </w:r>
          </w:p>
        </w:tc>
        <w:tc>
          <w:tcPr>
            <w:tcW w:w="5040" w:type="dxa"/>
            <w:vAlign w:val="center"/>
          </w:tcPr>
          <w:p w14:paraId="04BFB661">
            <w:pPr>
              <w:spacing w:line="240" w:lineRule="auto"/>
            </w:pPr>
            <w:r>
              <w:rPr>
                <w:rFonts w:ascii="Aptos" w:hAnsi="Aptos"/>
                <w:b w:val="0"/>
                <w:sz w:val="19"/>
              </w:rPr>
              <w:t>Annual average temperature trend; KPI cards for average/min/max temperature and total precipitation; city/region/year filters.</w:t>
            </w:r>
          </w:p>
        </w:tc>
      </w:tr>
      <w:tr w14:paraId="49C0F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E0C4F70">
            <w:pPr>
              <w:spacing w:line="240" w:lineRule="auto"/>
            </w:pPr>
            <w:r>
              <w:rPr>
                <w:rFonts w:ascii="Aptos" w:hAnsi="Aptos"/>
                <w:b w:val="0"/>
                <w:sz w:val="19"/>
              </w:rPr>
              <w:t>Climate Trends</w:t>
            </w:r>
          </w:p>
        </w:tc>
        <w:tc>
          <w:tcPr>
            <w:tcW w:w="5040" w:type="dxa"/>
            <w:vAlign w:val="center"/>
          </w:tcPr>
          <w:p w14:paraId="57C68CC8">
            <w:pPr>
              <w:spacing w:line="240" w:lineRule="auto"/>
            </w:pPr>
            <w:r>
              <w:rPr>
                <w:rFonts w:ascii="Aptos" w:hAnsi="Aptos"/>
                <w:b w:val="0"/>
                <w:sz w:val="19"/>
              </w:rPr>
              <w:t>Temperature by decade; annual precipitation trend; seasonal temperature comparison.</w:t>
            </w:r>
          </w:p>
        </w:tc>
      </w:tr>
      <w:tr w14:paraId="442F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42C1E4D">
            <w:pPr>
              <w:spacing w:line="240" w:lineRule="auto"/>
            </w:pPr>
            <w:r>
              <w:rPr>
                <w:rFonts w:ascii="Aptos" w:hAnsi="Aptos"/>
                <w:b w:val="0"/>
                <w:sz w:val="19"/>
              </w:rPr>
              <w:t>Extreme Weather Indicators</w:t>
            </w:r>
          </w:p>
        </w:tc>
        <w:tc>
          <w:tcPr>
            <w:tcW w:w="5040" w:type="dxa"/>
            <w:vAlign w:val="center"/>
          </w:tcPr>
          <w:p w14:paraId="680EC61F">
            <w:pPr>
              <w:spacing w:line="240" w:lineRule="auto"/>
            </w:pPr>
            <w:r>
              <w:rPr>
                <w:rFonts w:ascii="Aptos" w:hAnsi="Aptos"/>
                <w:b w:val="0"/>
                <w:sz w:val="19"/>
              </w:rPr>
              <w:t>Hot-day frequency; heavy-rainfall observations; maximum precipitation / extreme temperature indicators.</w:t>
            </w:r>
          </w:p>
        </w:tc>
      </w:tr>
    </w:tbl>
    <w:p w14:paraId="687D9583">
      <w:r>
        <w:t>Heavy rainfall is treated as a weather indicator, not as proof or prediction of flooding. A true flood analysis would require additional hydrological information such as river discharge, water level or documented flood-event data.</w:t>
      </w:r>
    </w:p>
    <w:p w14:paraId="5D71156D">
      <w:pPr>
        <w:pStyle w:val="2"/>
      </w:pPr>
      <w:r>
        <w:t>9. Engineering Setup &amp; FinOps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10A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4A39A9A4">
            <w:pPr>
              <w:spacing w:line="240" w:lineRule="auto"/>
            </w:pPr>
            <w:r>
              <w:rPr>
                <w:rFonts w:ascii="Aptos" w:hAnsi="Aptos"/>
                <w:b/>
                <w:sz w:val="19"/>
              </w:rPr>
              <w:t>Component</w:t>
            </w:r>
          </w:p>
        </w:tc>
        <w:tc>
          <w:tcPr>
            <w:tcW w:w="5040" w:type="dxa"/>
            <w:shd w:val="clear" w:color="auto" w:fill="D9EAF7"/>
            <w:vAlign w:val="center"/>
          </w:tcPr>
          <w:p w14:paraId="16536282">
            <w:pPr>
              <w:spacing w:line="240" w:lineRule="auto"/>
            </w:pPr>
            <w:r>
              <w:rPr>
                <w:rFonts w:ascii="Aptos" w:hAnsi="Aptos"/>
                <w:b/>
                <w:sz w:val="19"/>
              </w:rPr>
              <w:t>Planned Use</w:t>
            </w:r>
          </w:p>
        </w:tc>
      </w:tr>
      <w:tr w14:paraId="61218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1F35E91">
            <w:pPr>
              <w:spacing w:line="240" w:lineRule="auto"/>
            </w:pPr>
            <w:r>
              <w:rPr>
                <w:rFonts w:ascii="Aptos" w:hAnsi="Aptos"/>
                <w:b w:val="0"/>
                <w:sz w:val="19"/>
              </w:rPr>
              <w:t>Databricks Free Edition</w:t>
            </w:r>
          </w:p>
        </w:tc>
        <w:tc>
          <w:tcPr>
            <w:tcW w:w="5040" w:type="dxa"/>
            <w:vAlign w:val="center"/>
          </w:tcPr>
          <w:p w14:paraId="216461DD">
            <w:pPr>
              <w:spacing w:line="240" w:lineRule="auto"/>
            </w:pPr>
            <w:r>
              <w:rPr>
                <w:rFonts w:ascii="Aptos" w:hAnsi="Aptos"/>
                <w:b w:val="0"/>
                <w:sz w:val="19"/>
              </w:rPr>
              <w:t>Development and Spark execution environment</w:t>
            </w:r>
          </w:p>
        </w:tc>
      </w:tr>
      <w:tr w14:paraId="3865D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E1AFDDA">
            <w:pPr>
              <w:spacing w:line="240" w:lineRule="auto"/>
            </w:pPr>
            <w:r>
              <w:rPr>
                <w:rFonts w:ascii="Aptos" w:hAnsi="Aptos"/>
                <w:b w:val="0"/>
                <w:sz w:val="19"/>
              </w:rPr>
              <w:t>Python</w:t>
            </w:r>
          </w:p>
        </w:tc>
        <w:tc>
          <w:tcPr>
            <w:tcW w:w="5040" w:type="dxa"/>
            <w:vAlign w:val="center"/>
          </w:tcPr>
          <w:p w14:paraId="05DB9BA3">
            <w:pPr>
              <w:spacing w:line="240" w:lineRule="auto"/>
            </w:pPr>
            <w:r>
              <w:rPr>
                <w:rFonts w:ascii="Aptos" w:hAnsi="Aptos"/>
                <w:b w:val="0"/>
                <w:sz w:val="19"/>
              </w:rPr>
              <w:t>REST API ingestion and supporting logic</w:t>
            </w:r>
          </w:p>
        </w:tc>
      </w:tr>
      <w:tr w14:paraId="607F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5B712FA">
            <w:pPr>
              <w:spacing w:line="240" w:lineRule="auto"/>
            </w:pPr>
            <w:r>
              <w:rPr>
                <w:rFonts w:ascii="Aptos" w:hAnsi="Aptos"/>
                <w:b w:val="0"/>
                <w:sz w:val="19"/>
              </w:rPr>
              <w:t>Apache Spark / PySpark</w:t>
            </w:r>
          </w:p>
        </w:tc>
        <w:tc>
          <w:tcPr>
            <w:tcW w:w="5040" w:type="dxa"/>
            <w:vAlign w:val="center"/>
          </w:tcPr>
          <w:p w14:paraId="1DEBBE5D">
            <w:pPr>
              <w:spacing w:line="240" w:lineRule="auto"/>
            </w:pPr>
            <w:r>
              <w:rPr>
                <w:rFonts w:ascii="Aptos" w:hAnsi="Aptos"/>
                <w:b w:val="0"/>
                <w:sz w:val="19"/>
              </w:rPr>
              <w:t>Distributed transformation, validation and aggregation</w:t>
            </w:r>
          </w:p>
        </w:tc>
      </w:tr>
      <w:tr w14:paraId="38E67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C29AF18">
            <w:pPr>
              <w:spacing w:line="240" w:lineRule="auto"/>
            </w:pPr>
            <w:r>
              <w:rPr>
                <w:rFonts w:ascii="Aptos" w:hAnsi="Aptos"/>
                <w:b w:val="0"/>
                <w:sz w:val="19"/>
              </w:rPr>
              <w:t>Delta Lake</w:t>
            </w:r>
          </w:p>
        </w:tc>
        <w:tc>
          <w:tcPr>
            <w:tcW w:w="5040" w:type="dxa"/>
            <w:vAlign w:val="center"/>
          </w:tcPr>
          <w:p w14:paraId="3B2B43AE">
            <w:pPr>
              <w:spacing w:line="240" w:lineRule="auto"/>
            </w:pPr>
            <w:r>
              <w:rPr>
                <w:rFonts w:ascii="Aptos" w:hAnsi="Aptos"/>
                <w:b w:val="0"/>
                <w:sz w:val="19"/>
              </w:rPr>
              <w:t>Bronze/Silver/Gold reliable tables</w:t>
            </w:r>
          </w:p>
        </w:tc>
      </w:tr>
      <w:tr w14:paraId="3152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5D82063">
            <w:pPr>
              <w:spacing w:line="240" w:lineRule="auto"/>
            </w:pPr>
            <w:r>
              <w:rPr>
                <w:rFonts w:ascii="Aptos" w:hAnsi="Aptos"/>
                <w:b w:val="0"/>
                <w:sz w:val="19"/>
              </w:rPr>
              <w:t>GitHub</w:t>
            </w:r>
          </w:p>
        </w:tc>
        <w:tc>
          <w:tcPr>
            <w:tcW w:w="5040" w:type="dxa"/>
            <w:vAlign w:val="center"/>
          </w:tcPr>
          <w:p w14:paraId="4FFA99A6">
            <w:pPr>
              <w:spacing w:line="240" w:lineRule="auto"/>
            </w:pPr>
            <w:r>
              <w:rPr>
                <w:rFonts w:ascii="Aptos" w:hAnsi="Aptos"/>
                <w:b w:val="0"/>
                <w:sz w:val="19"/>
              </w:rPr>
              <w:t>Version control, notebook, documentation and Phase 1 sample files</w:t>
            </w:r>
          </w:p>
        </w:tc>
      </w:tr>
      <w:tr w14:paraId="1725F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8677F12">
            <w:pPr>
              <w:spacing w:line="240" w:lineRule="auto"/>
            </w:pPr>
            <w:r>
              <w:rPr>
                <w:rFonts w:ascii="Aptos" w:hAnsi="Aptos"/>
                <w:b w:val="0"/>
                <w:sz w:val="19"/>
              </w:rPr>
              <w:t>Power BI</w:t>
            </w:r>
          </w:p>
        </w:tc>
        <w:tc>
          <w:tcPr>
            <w:tcW w:w="5040" w:type="dxa"/>
            <w:vAlign w:val="center"/>
          </w:tcPr>
          <w:p w14:paraId="330FBD80">
            <w:pPr>
              <w:spacing w:line="240" w:lineRule="auto"/>
            </w:pPr>
            <w:r>
              <w:rPr>
                <w:rFonts w:ascii="Aptos" w:hAnsi="Aptos"/>
                <w:b w:val="0"/>
                <w:sz w:val="19"/>
              </w:rPr>
              <w:t>Final dashboard and analytical communication</w:t>
            </w:r>
          </w:p>
        </w:tc>
      </w:tr>
    </w:tbl>
    <w:p w14:paraId="775D3464">
      <w:r>
        <w:t>The project uses Databricks Free Edition, so there is no planned infrastructure cost for the course implementation. To remain within free usage limits, the historical Full Load will be processed in manageable batches rather than as one very large request/job. After the initial load, only newly available weather observations will be processed through Incremental Load. This reduces unnecessary computation, API transfer and storage work.</w:t>
      </w:r>
    </w:p>
    <w:p w14:paraId="20791739">
      <w:pPr>
        <w:pStyle w:val="2"/>
      </w:pPr>
      <w:r>
        <w:t>10. GitHub Repository Structure</w:t>
      </w:r>
    </w:p>
    <w:p w14:paraId="518D6B76">
      <w:r>
        <w:rPr>
          <w:rFonts w:ascii="Consolas" w:hAnsi="Consolas"/>
          <w:sz w:val="18"/>
        </w:rPr>
        <w:t>european-climate-analytics-lakehouse/</w:t>
      </w:r>
      <w:r>
        <w:rPr>
          <w:rFonts w:ascii="Consolas" w:hAnsi="Consolas"/>
          <w:sz w:val="18"/>
        </w:rPr>
        <w:br w:type="textWrapping"/>
      </w:r>
      <w:r>
        <w:rPr>
          <w:rFonts w:ascii="Consolas" w:hAnsi="Consolas"/>
          <w:sz w:val="18"/>
        </w:rPr>
        <w:t>├── README.md</w:t>
      </w:r>
      <w:r>
        <w:rPr>
          <w:rFonts w:ascii="Consolas" w:hAnsi="Consolas"/>
          <w:sz w:val="18"/>
        </w:rPr>
        <w:br w:type="textWrapping"/>
      </w:r>
      <w:r>
        <w:rPr>
          <w:rFonts w:ascii="Consolas" w:hAnsi="Consolas"/>
          <w:sz w:val="18"/>
        </w:rPr>
        <w:t>├── data/</w:t>
      </w:r>
      <w:r>
        <w:rPr>
          <w:rFonts w:ascii="Consolas" w:hAnsi="Consolas"/>
          <w:sz w:val="18"/>
        </w:rPr>
        <w:br w:type="textWrapping"/>
      </w:r>
      <w:r>
        <w:rPr>
          <w:rFonts w:ascii="Consolas" w:hAnsi="Consolas"/>
          <w:sz w:val="18"/>
        </w:rPr>
        <w:t>│   ├── full_load_sample_5_cities_2024.json</w:t>
      </w:r>
      <w:r>
        <w:rPr>
          <w:rFonts w:ascii="Consolas" w:hAnsi="Consolas"/>
          <w:sz w:val="18"/>
        </w:rPr>
        <w:br w:type="textWrapping"/>
      </w:r>
      <w:r>
        <w:rPr>
          <w:rFonts w:ascii="Consolas" w:hAnsi="Consolas"/>
          <w:sz w:val="18"/>
        </w:rPr>
        <w:t>│   └── incremental_load_sample_5_cities_2025_01_01_to_07.json</w:t>
      </w:r>
      <w:r>
        <w:rPr>
          <w:rFonts w:ascii="Consolas" w:hAnsi="Consolas"/>
          <w:sz w:val="18"/>
        </w:rPr>
        <w:br w:type="textWrapping"/>
      </w:r>
      <w:r>
        <w:rPr>
          <w:rFonts w:ascii="Consolas" w:hAnsi="Consolas"/>
          <w:sz w:val="18"/>
        </w:rPr>
        <w:t>├── notebooks/</w:t>
      </w:r>
      <w:r>
        <w:rPr>
          <w:rFonts w:ascii="Consolas" w:hAnsi="Consolas"/>
          <w:sz w:val="18"/>
        </w:rPr>
        <w:br w:type="textWrapping"/>
      </w:r>
      <w:r>
        <w:rPr>
          <w:rFonts w:ascii="Consolas" w:hAnsi="Consolas"/>
          <w:sz w:val="18"/>
        </w:rPr>
        <w:t>│   └── 01_Phase1_Data_Source_and_Samples.ipynb</w:t>
      </w:r>
      <w:r>
        <w:rPr>
          <w:rFonts w:ascii="Consolas" w:hAnsi="Consolas"/>
          <w:sz w:val="18"/>
        </w:rPr>
        <w:br w:type="textWrapping"/>
      </w:r>
      <w:r>
        <w:rPr>
          <w:rFonts w:ascii="Consolas" w:hAnsi="Consolas"/>
          <w:sz w:val="18"/>
        </w:rPr>
        <w:t>└── docs/</w:t>
      </w:r>
      <w:r>
        <w:rPr>
          <w:rFonts w:ascii="Consolas" w:hAnsi="Consolas"/>
          <w:sz w:val="18"/>
        </w:rPr>
        <w:br w:type="textWrapping"/>
      </w:r>
      <w:r>
        <w:rPr>
          <w:rFonts w:ascii="Consolas" w:hAnsi="Consolas"/>
          <w:sz w:val="18"/>
        </w:rPr>
        <w:t xml:space="preserve">    └── Phase_1_Proposal.pdf</w:t>
      </w:r>
    </w:p>
    <w:p w14:paraId="06B8BCFE">
      <w:pPr>
        <w:pStyle w:val="2"/>
      </w:pPr>
      <w:r>
        <w:t>11. Assumptions &amp; Limitations</w:t>
      </w:r>
    </w:p>
    <w:p w14:paraId="553F427C">
      <w:pPr>
        <w:pStyle w:val="23"/>
      </w:pPr>
      <w:r>
        <w:t>ERA5 is reanalysis data; the project does not present every hourly value as a direct station measurement at the exact city point.</w:t>
      </w:r>
    </w:p>
    <w:p w14:paraId="124E02FE">
      <w:pPr>
        <w:pStyle w:val="23"/>
      </w:pPr>
      <w:r>
        <w:t>The analysis focuses on long-term weather/climate trends and indicators; causal attribution requires more specialized climate-science methodology.</w:t>
      </w:r>
    </w:p>
    <w:p w14:paraId="5744BB2A">
      <w:pPr>
        <w:pStyle w:val="23"/>
      </w:pPr>
      <w:r>
        <w:t>Heavy-rainfall indicators do not by themselves represent actual flood events.</w:t>
      </w:r>
    </w:p>
    <w:p w14:paraId="78C7BAB2">
      <w:pPr>
        <w:pStyle w:val="23"/>
      </w:pPr>
      <w:r>
        <w:t>The production volume is an estimate based on the final Phase 1 sample; physical Delta/Parquet storage may differ because of encoding and compression.</w:t>
      </w:r>
    </w:p>
    <w:p w14:paraId="58A21F7C">
      <w:pPr>
        <w:pStyle w:val="23"/>
      </w:pPr>
      <w:r>
        <w:t>Historical ingestion will be batched to control API and compute usage.</w:t>
      </w:r>
    </w:p>
    <w:p w14:paraId="6448D425">
      <w:pPr>
        <w:pStyle w:val="2"/>
      </w:pPr>
      <w:r>
        <w:t>12. Phase 1 Deliverables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2D7A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359BA029">
            <w:pPr>
              <w:spacing w:line="240" w:lineRule="auto"/>
            </w:pPr>
            <w:r>
              <w:rPr>
                <w:rFonts w:ascii="Aptos" w:hAnsi="Aptos"/>
                <w:b/>
                <w:sz w:val="19"/>
              </w:rPr>
              <w:t>Deliverable</w:t>
            </w:r>
          </w:p>
        </w:tc>
        <w:tc>
          <w:tcPr>
            <w:tcW w:w="5040" w:type="dxa"/>
            <w:shd w:val="clear" w:color="auto" w:fill="D9EAF7"/>
            <w:vAlign w:val="center"/>
          </w:tcPr>
          <w:p w14:paraId="343E4C24">
            <w:pPr>
              <w:spacing w:line="240" w:lineRule="auto"/>
            </w:pPr>
            <w:r>
              <w:rPr>
                <w:rFonts w:ascii="Aptos" w:hAnsi="Aptos"/>
                <w:b/>
                <w:sz w:val="19"/>
              </w:rPr>
              <w:t>Status / Plan</w:t>
            </w:r>
          </w:p>
        </w:tc>
      </w:tr>
      <w:tr w14:paraId="02363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28E58D">
            <w:pPr>
              <w:spacing w:line="240" w:lineRule="auto"/>
            </w:pPr>
            <w:r>
              <w:rPr>
                <w:rFonts w:ascii="Aptos" w:hAnsi="Aptos"/>
                <w:b w:val="0"/>
                <w:sz w:val="19"/>
              </w:rPr>
              <w:t>Project concept and domain</w:t>
            </w:r>
          </w:p>
        </w:tc>
        <w:tc>
          <w:tcPr>
            <w:tcW w:w="5040" w:type="dxa"/>
            <w:vAlign w:val="center"/>
          </w:tcPr>
          <w:p w14:paraId="09776B9E">
            <w:pPr>
              <w:spacing w:line="240" w:lineRule="auto"/>
            </w:pPr>
            <w:r>
              <w:rPr>
                <w:rFonts w:ascii="Aptos" w:hAnsi="Aptos"/>
                <w:b w:val="0"/>
                <w:sz w:val="19"/>
              </w:rPr>
              <w:t>Defined</w:t>
            </w:r>
          </w:p>
        </w:tc>
      </w:tr>
      <w:tr w14:paraId="72029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AE27710">
            <w:pPr>
              <w:spacing w:line="240" w:lineRule="auto"/>
            </w:pPr>
            <w:r>
              <w:rPr>
                <w:rFonts w:ascii="Aptos" w:hAnsi="Aptos"/>
                <w:b w:val="0"/>
                <w:sz w:val="19"/>
              </w:rPr>
              <w:t>Exact data source</w:t>
            </w:r>
          </w:p>
        </w:tc>
        <w:tc>
          <w:tcPr>
            <w:tcW w:w="5040" w:type="dxa"/>
            <w:vAlign w:val="center"/>
          </w:tcPr>
          <w:p w14:paraId="7C82B418">
            <w:pPr>
              <w:spacing w:line="240" w:lineRule="auto"/>
            </w:pPr>
            <w:r>
              <w:rPr>
                <w:rFonts w:ascii="Aptos" w:hAnsi="Aptos"/>
                <w:b w:val="0"/>
                <w:sz w:val="19"/>
              </w:rPr>
              <w:t>Open-Meteo Historical Weather API – ERA5</w:t>
            </w:r>
          </w:p>
        </w:tc>
      </w:tr>
      <w:tr w14:paraId="11FA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A6A39D9">
            <w:pPr>
              <w:spacing w:line="240" w:lineRule="auto"/>
            </w:pPr>
            <w:r>
              <w:rPr>
                <w:rFonts w:ascii="Aptos" w:hAnsi="Aptos"/>
                <w:b w:val="0"/>
                <w:sz w:val="19"/>
              </w:rPr>
              <w:t>Full + Incremental ingestion design</w:t>
            </w:r>
          </w:p>
        </w:tc>
        <w:tc>
          <w:tcPr>
            <w:tcW w:w="5040" w:type="dxa"/>
            <w:vAlign w:val="center"/>
          </w:tcPr>
          <w:p w14:paraId="4135F56A">
            <w:pPr>
              <w:spacing w:line="240" w:lineRule="auto"/>
            </w:pPr>
            <w:r>
              <w:rPr>
                <w:rFonts w:ascii="Aptos" w:hAnsi="Aptos"/>
                <w:b w:val="0"/>
                <w:sz w:val="19"/>
              </w:rPr>
              <w:t>Defined</w:t>
            </w:r>
          </w:p>
        </w:tc>
      </w:tr>
      <w:tr w14:paraId="0709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D4DEE24">
            <w:pPr>
              <w:spacing w:line="240" w:lineRule="auto"/>
            </w:pPr>
            <w:r>
              <w:rPr>
                <w:rFonts w:ascii="Aptos" w:hAnsi="Aptos"/>
                <w:b w:val="0"/>
                <w:sz w:val="19"/>
              </w:rPr>
              <w:t>Full Load sample</w:t>
            </w:r>
          </w:p>
        </w:tc>
        <w:tc>
          <w:tcPr>
            <w:tcW w:w="5040" w:type="dxa"/>
            <w:vAlign w:val="center"/>
          </w:tcPr>
          <w:p w14:paraId="1B73FBE2">
            <w:pPr>
              <w:spacing w:line="240" w:lineRule="auto"/>
            </w:pPr>
            <w:r>
              <w:rPr>
                <w:rFonts w:ascii="Aptos" w:hAnsi="Aptos"/>
                <w:b w:val="0"/>
                <w:sz w:val="19"/>
              </w:rPr>
              <w:t>5 cities, full year 2024 – prepared</w:t>
            </w:r>
          </w:p>
        </w:tc>
      </w:tr>
      <w:tr w14:paraId="75D78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8BEEC83">
            <w:pPr>
              <w:spacing w:line="240" w:lineRule="auto"/>
            </w:pPr>
            <w:r>
              <w:rPr>
                <w:rFonts w:ascii="Aptos" w:hAnsi="Aptos"/>
                <w:b w:val="0"/>
                <w:sz w:val="19"/>
              </w:rPr>
              <w:t>Incremental Load sample</w:t>
            </w:r>
          </w:p>
        </w:tc>
        <w:tc>
          <w:tcPr>
            <w:tcW w:w="5040" w:type="dxa"/>
            <w:vAlign w:val="center"/>
          </w:tcPr>
          <w:p w14:paraId="1D81B4C8">
            <w:pPr>
              <w:spacing w:line="240" w:lineRule="auto"/>
            </w:pPr>
            <w:r>
              <w:rPr>
                <w:rFonts w:ascii="Aptos" w:hAnsi="Aptos"/>
                <w:b w:val="0"/>
                <w:sz w:val="19"/>
              </w:rPr>
              <w:t>5 cities, 01–07 Jan 2025 – prepared</w:t>
            </w:r>
          </w:p>
        </w:tc>
      </w:tr>
      <w:tr w14:paraId="1033D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F13DED3">
            <w:pPr>
              <w:spacing w:line="240" w:lineRule="auto"/>
            </w:pPr>
            <w:r>
              <w:rPr>
                <w:rFonts w:ascii="Aptos" w:hAnsi="Aptos"/>
                <w:b w:val="0"/>
                <w:sz w:val="19"/>
              </w:rPr>
              <w:t>Data volume estimate</w:t>
            </w:r>
          </w:p>
        </w:tc>
        <w:tc>
          <w:tcPr>
            <w:tcW w:w="5040" w:type="dxa"/>
            <w:vAlign w:val="center"/>
          </w:tcPr>
          <w:p w14:paraId="780262AF">
            <w:pPr>
              <w:spacing w:line="240" w:lineRule="auto"/>
            </w:pPr>
            <w:r>
              <w:rPr>
                <w:rFonts w:ascii="Aptos" w:hAnsi="Aptos"/>
                <w:b w:val="0"/>
                <w:sz w:val="19"/>
              </w:rPr>
              <w:t>Prepared</w:t>
            </w:r>
          </w:p>
        </w:tc>
      </w:tr>
      <w:tr w14:paraId="1EB06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F24BDCD">
            <w:pPr>
              <w:spacing w:line="240" w:lineRule="auto"/>
            </w:pPr>
            <w:r>
              <w:rPr>
                <w:rFonts w:ascii="Aptos" w:hAnsi="Aptos"/>
                <w:b w:val="0"/>
                <w:sz w:val="19"/>
              </w:rPr>
              <w:t>PII/security assessment</w:t>
            </w:r>
          </w:p>
        </w:tc>
        <w:tc>
          <w:tcPr>
            <w:tcW w:w="5040" w:type="dxa"/>
            <w:vAlign w:val="center"/>
          </w:tcPr>
          <w:p w14:paraId="23D7E0D9">
            <w:pPr>
              <w:spacing w:line="240" w:lineRule="auto"/>
            </w:pPr>
            <w:r>
              <w:rPr>
                <w:rFonts w:ascii="Aptos" w:hAnsi="Aptos"/>
                <w:b w:val="0"/>
                <w:sz w:val="19"/>
              </w:rPr>
              <w:t>No PII identified; justification documented</w:t>
            </w:r>
          </w:p>
        </w:tc>
      </w:tr>
      <w:tr w14:paraId="1934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FB8F527">
            <w:pPr>
              <w:spacing w:line="240" w:lineRule="auto"/>
            </w:pPr>
            <w:r>
              <w:rPr>
                <w:rFonts w:ascii="Aptos" w:hAnsi="Aptos"/>
                <w:b w:val="0"/>
                <w:sz w:val="19"/>
              </w:rPr>
              <w:t>Medallion model</w:t>
            </w:r>
          </w:p>
        </w:tc>
        <w:tc>
          <w:tcPr>
            <w:tcW w:w="5040" w:type="dxa"/>
            <w:vAlign w:val="center"/>
          </w:tcPr>
          <w:p w14:paraId="2D44100A">
            <w:pPr>
              <w:spacing w:line="240" w:lineRule="auto"/>
            </w:pPr>
            <w:r>
              <w:rPr>
                <w:rFonts w:ascii="Aptos" w:hAnsi="Aptos"/>
                <w:b w:val="0"/>
                <w:sz w:val="19"/>
              </w:rPr>
              <w:t>Bronze, Silver and Gold defined</w:t>
            </w:r>
          </w:p>
        </w:tc>
      </w:tr>
      <w:tr w14:paraId="5B62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51968A">
            <w:pPr>
              <w:spacing w:line="240" w:lineRule="auto"/>
            </w:pPr>
            <w:r>
              <w:rPr>
                <w:rFonts w:ascii="Aptos" w:hAnsi="Aptos"/>
                <w:b w:val="0"/>
                <w:sz w:val="19"/>
              </w:rPr>
              <w:t>BI/dashboard plan</w:t>
            </w:r>
          </w:p>
        </w:tc>
        <w:tc>
          <w:tcPr>
            <w:tcW w:w="5040" w:type="dxa"/>
            <w:vAlign w:val="center"/>
          </w:tcPr>
          <w:p w14:paraId="1F811A81">
            <w:pPr>
              <w:spacing w:line="240" w:lineRule="auto"/>
            </w:pPr>
            <w:r>
              <w:rPr>
                <w:rFonts w:ascii="Aptos" w:hAnsi="Aptos"/>
                <w:b w:val="0"/>
                <w:sz w:val="19"/>
              </w:rPr>
              <w:t>Defined</w:t>
            </w:r>
          </w:p>
        </w:tc>
      </w:tr>
      <w:tr w14:paraId="6702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6C01F48">
            <w:pPr>
              <w:spacing w:line="240" w:lineRule="auto"/>
            </w:pPr>
            <w:r>
              <w:rPr>
                <w:rFonts w:ascii="Aptos" w:hAnsi="Aptos"/>
                <w:b w:val="0"/>
                <w:sz w:val="19"/>
              </w:rPr>
              <w:t>FinOps approach</w:t>
            </w:r>
          </w:p>
        </w:tc>
        <w:tc>
          <w:tcPr>
            <w:tcW w:w="5040" w:type="dxa"/>
            <w:vAlign w:val="center"/>
          </w:tcPr>
          <w:p w14:paraId="32EC84C0">
            <w:pPr>
              <w:spacing w:line="240" w:lineRule="auto"/>
            </w:pPr>
            <w:r>
              <w:rPr>
                <w:rFonts w:ascii="Aptos" w:hAnsi="Aptos"/>
                <w:b w:val="0"/>
                <w:sz w:val="19"/>
              </w:rPr>
              <w:t>Databricks Free Edition + batching + incremental processing</w:t>
            </w:r>
          </w:p>
        </w:tc>
      </w:tr>
      <w:tr w14:paraId="0893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E4A9C03">
            <w:pPr>
              <w:spacing w:line="240" w:lineRule="auto"/>
            </w:pPr>
            <w:r>
              <w:rPr>
                <w:rFonts w:ascii="Aptos" w:hAnsi="Aptos"/>
                <w:b w:val="0"/>
                <w:sz w:val="19"/>
              </w:rPr>
              <w:t>GitHub repository</w:t>
            </w:r>
          </w:p>
        </w:tc>
        <w:tc>
          <w:tcPr>
            <w:tcW w:w="5040" w:type="dxa"/>
            <w:vAlign w:val="center"/>
          </w:tcPr>
          <w:p w14:paraId="5F355C00">
            <w:pPr>
              <w:spacing w:line="240" w:lineRule="auto"/>
            </w:pPr>
            <w:r>
              <w:rPr>
                <w:rFonts w:ascii="Aptos" w:hAnsi="Aptos"/>
                <w:b w:val="0"/>
                <w:sz w:val="19"/>
              </w:rPr>
              <w:t>To be finalized for submission</w:t>
            </w:r>
          </w:p>
        </w:tc>
      </w:tr>
    </w:tbl>
    <w:p w14:paraId="17540C13">
      <w:pPr>
        <w:pStyle w:val="2"/>
      </w:pPr>
      <w:r>
        <w:t>13. Conclusion</w:t>
      </w:r>
    </w:p>
    <w:p w14:paraId="1B020E8C">
      <w:r>
        <w:t>The proposed European Weather &amp; Climate Change Analytics Lakehouse provides a practical use case for the concepts covered in Data Analysis &amp; Visualization: the Data Analysis Lifecycle, data preparation and EDA, Lakehouse architecture, Medallion Architecture, distributed processing, Spark and business-focused visualization. The design begins with a large historical Full Load and then moves to efficient Incremental Loads, while Bronze, Silver and Gold layers progressively refine the data from source-oriented records into business-ready climate analytics.</w:t>
      </w:r>
    </w:p>
    <w:p w14:paraId="6E2E2A71">
      <w:pPr>
        <w:pStyle w:val="2"/>
      </w:pPr>
      <w:r>
        <w:t>Appendix A – Phase 1 Sample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683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4463F21A">
            <w:pPr>
              <w:spacing w:line="240" w:lineRule="auto"/>
            </w:pPr>
            <w:r>
              <w:rPr>
                <w:rFonts w:ascii="Aptos" w:hAnsi="Aptos"/>
                <w:b/>
                <w:sz w:val="19"/>
              </w:rPr>
              <w:t>Property</w:t>
            </w:r>
          </w:p>
        </w:tc>
        <w:tc>
          <w:tcPr>
            <w:tcW w:w="3360" w:type="dxa"/>
            <w:shd w:val="clear" w:color="auto" w:fill="D9EAF7"/>
            <w:vAlign w:val="center"/>
          </w:tcPr>
          <w:p w14:paraId="08220878">
            <w:pPr>
              <w:spacing w:line="240" w:lineRule="auto"/>
            </w:pPr>
            <w:r>
              <w:rPr>
                <w:rFonts w:ascii="Aptos" w:hAnsi="Aptos"/>
                <w:b/>
                <w:sz w:val="19"/>
              </w:rPr>
              <w:t>Full Load Sample</w:t>
            </w:r>
          </w:p>
        </w:tc>
        <w:tc>
          <w:tcPr>
            <w:tcW w:w="3360" w:type="dxa"/>
            <w:shd w:val="clear" w:color="auto" w:fill="D9EAF7"/>
            <w:vAlign w:val="center"/>
          </w:tcPr>
          <w:p w14:paraId="27FA1C61">
            <w:pPr>
              <w:spacing w:line="240" w:lineRule="auto"/>
            </w:pPr>
            <w:r>
              <w:rPr>
                <w:rFonts w:ascii="Aptos" w:hAnsi="Aptos"/>
                <w:b/>
                <w:sz w:val="19"/>
              </w:rPr>
              <w:t>Incremental Sample</w:t>
            </w:r>
          </w:p>
        </w:tc>
      </w:tr>
      <w:tr w14:paraId="2F1D9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84298F9">
            <w:pPr>
              <w:spacing w:line="240" w:lineRule="auto"/>
            </w:pPr>
            <w:r>
              <w:rPr>
                <w:rFonts w:ascii="Aptos" w:hAnsi="Aptos"/>
                <w:b w:val="0"/>
                <w:sz w:val="19"/>
              </w:rPr>
              <w:t>Cities</w:t>
            </w:r>
          </w:p>
        </w:tc>
        <w:tc>
          <w:tcPr>
            <w:tcW w:w="3360" w:type="dxa"/>
            <w:vAlign w:val="center"/>
          </w:tcPr>
          <w:p w14:paraId="6368E0BC">
            <w:pPr>
              <w:spacing w:line="240" w:lineRule="auto"/>
            </w:pPr>
            <w:r>
              <w:rPr>
                <w:rFonts w:ascii="Aptos" w:hAnsi="Aptos"/>
                <w:b w:val="0"/>
                <w:sz w:val="19"/>
              </w:rPr>
              <w:t>London, Oslo, Berlin, Madrid, Warsaw</w:t>
            </w:r>
          </w:p>
        </w:tc>
        <w:tc>
          <w:tcPr>
            <w:tcW w:w="3360" w:type="dxa"/>
            <w:vAlign w:val="center"/>
          </w:tcPr>
          <w:p w14:paraId="054CB5E7">
            <w:pPr>
              <w:spacing w:line="240" w:lineRule="auto"/>
            </w:pPr>
            <w:r>
              <w:rPr>
                <w:rFonts w:ascii="Aptos" w:hAnsi="Aptos"/>
                <w:b w:val="0"/>
                <w:sz w:val="19"/>
              </w:rPr>
              <w:t>Same 5 cities</w:t>
            </w:r>
          </w:p>
        </w:tc>
      </w:tr>
      <w:tr w14:paraId="1D7F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5884560">
            <w:pPr>
              <w:spacing w:line="240" w:lineRule="auto"/>
            </w:pPr>
            <w:r>
              <w:rPr>
                <w:rFonts w:ascii="Aptos" w:hAnsi="Aptos"/>
                <w:b w:val="0"/>
                <w:sz w:val="19"/>
              </w:rPr>
              <w:t>Period</w:t>
            </w:r>
          </w:p>
        </w:tc>
        <w:tc>
          <w:tcPr>
            <w:tcW w:w="3360" w:type="dxa"/>
            <w:vAlign w:val="center"/>
          </w:tcPr>
          <w:p w14:paraId="2453C1EF">
            <w:pPr>
              <w:spacing w:line="240" w:lineRule="auto"/>
            </w:pPr>
            <w:r>
              <w:rPr>
                <w:rFonts w:ascii="Aptos" w:hAnsi="Aptos"/>
                <w:b w:val="0"/>
                <w:sz w:val="19"/>
              </w:rPr>
              <w:t>2024-01-01 to 2024-12-31</w:t>
            </w:r>
          </w:p>
        </w:tc>
        <w:tc>
          <w:tcPr>
            <w:tcW w:w="3360" w:type="dxa"/>
            <w:vAlign w:val="center"/>
          </w:tcPr>
          <w:p w14:paraId="5DA86EC9">
            <w:pPr>
              <w:spacing w:line="240" w:lineRule="auto"/>
            </w:pPr>
            <w:r>
              <w:rPr>
                <w:rFonts w:ascii="Aptos" w:hAnsi="Aptos"/>
                <w:b w:val="0"/>
                <w:sz w:val="19"/>
              </w:rPr>
              <w:t>2025-01-01 to 2025-01-07</w:t>
            </w:r>
          </w:p>
        </w:tc>
      </w:tr>
      <w:tr w14:paraId="7518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D13AF4B">
            <w:pPr>
              <w:spacing w:line="240" w:lineRule="auto"/>
            </w:pPr>
            <w:r>
              <w:rPr>
                <w:rFonts w:ascii="Aptos" w:hAnsi="Aptos"/>
                <w:b w:val="0"/>
                <w:sz w:val="19"/>
              </w:rPr>
              <w:t>Granularity</w:t>
            </w:r>
          </w:p>
        </w:tc>
        <w:tc>
          <w:tcPr>
            <w:tcW w:w="3360" w:type="dxa"/>
            <w:vAlign w:val="center"/>
          </w:tcPr>
          <w:p w14:paraId="1469F6DC">
            <w:pPr>
              <w:spacing w:line="240" w:lineRule="auto"/>
            </w:pPr>
            <w:r>
              <w:rPr>
                <w:rFonts w:ascii="Aptos" w:hAnsi="Aptos"/>
                <w:b w:val="0"/>
                <w:sz w:val="19"/>
              </w:rPr>
              <w:t>Hourly</w:t>
            </w:r>
          </w:p>
        </w:tc>
        <w:tc>
          <w:tcPr>
            <w:tcW w:w="3360" w:type="dxa"/>
            <w:vAlign w:val="center"/>
          </w:tcPr>
          <w:p w14:paraId="6AEA20F1">
            <w:pPr>
              <w:spacing w:line="240" w:lineRule="auto"/>
            </w:pPr>
            <w:r>
              <w:rPr>
                <w:rFonts w:ascii="Aptos" w:hAnsi="Aptos"/>
                <w:b w:val="0"/>
                <w:sz w:val="19"/>
              </w:rPr>
              <w:t>Hourly</w:t>
            </w:r>
          </w:p>
        </w:tc>
      </w:tr>
      <w:tr w14:paraId="41B02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E8036DB">
            <w:pPr>
              <w:spacing w:line="240" w:lineRule="auto"/>
            </w:pPr>
            <w:r>
              <w:rPr>
                <w:rFonts w:ascii="Aptos" w:hAnsi="Aptos"/>
                <w:b w:val="0"/>
                <w:sz w:val="19"/>
              </w:rPr>
              <w:t>Rows</w:t>
            </w:r>
          </w:p>
        </w:tc>
        <w:tc>
          <w:tcPr>
            <w:tcW w:w="3360" w:type="dxa"/>
            <w:vAlign w:val="center"/>
          </w:tcPr>
          <w:p w14:paraId="33CF7D74">
            <w:pPr>
              <w:spacing w:line="240" w:lineRule="auto"/>
            </w:pPr>
            <w:r>
              <w:rPr>
                <w:rFonts w:ascii="Aptos" w:hAnsi="Aptos"/>
                <w:b w:val="0"/>
                <w:sz w:val="19"/>
              </w:rPr>
              <w:t>43,920</w:t>
            </w:r>
          </w:p>
        </w:tc>
        <w:tc>
          <w:tcPr>
            <w:tcW w:w="3360" w:type="dxa"/>
            <w:vAlign w:val="center"/>
          </w:tcPr>
          <w:p w14:paraId="33A95DC8">
            <w:pPr>
              <w:spacing w:line="240" w:lineRule="auto"/>
            </w:pPr>
            <w:r>
              <w:rPr>
                <w:rFonts w:ascii="Aptos" w:hAnsi="Aptos"/>
                <w:b w:val="0"/>
                <w:sz w:val="19"/>
              </w:rPr>
              <w:t>840</w:t>
            </w:r>
          </w:p>
        </w:tc>
      </w:tr>
      <w:tr w14:paraId="065E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A2A18D1">
            <w:pPr>
              <w:spacing w:line="240" w:lineRule="auto"/>
            </w:pPr>
            <w:r>
              <w:rPr>
                <w:rFonts w:ascii="Aptos" w:hAnsi="Aptos"/>
                <w:b w:val="0"/>
                <w:sz w:val="19"/>
              </w:rPr>
              <w:t>Columns</w:t>
            </w:r>
          </w:p>
        </w:tc>
        <w:tc>
          <w:tcPr>
            <w:tcW w:w="3360" w:type="dxa"/>
            <w:vAlign w:val="center"/>
          </w:tcPr>
          <w:p w14:paraId="0C5F01F7">
            <w:pPr>
              <w:spacing w:line="240" w:lineRule="auto"/>
            </w:pPr>
            <w:r>
              <w:rPr>
                <w:rFonts w:ascii="Aptos" w:hAnsi="Aptos"/>
                <w:b w:val="0"/>
                <w:sz w:val="19"/>
              </w:rPr>
              <w:t>16</w:t>
            </w:r>
          </w:p>
        </w:tc>
        <w:tc>
          <w:tcPr>
            <w:tcW w:w="3360" w:type="dxa"/>
            <w:vAlign w:val="center"/>
          </w:tcPr>
          <w:p w14:paraId="38B74986">
            <w:pPr>
              <w:spacing w:line="240" w:lineRule="auto"/>
            </w:pPr>
            <w:r>
              <w:rPr>
                <w:rFonts w:ascii="Aptos" w:hAnsi="Aptos"/>
                <w:b w:val="0"/>
                <w:sz w:val="19"/>
              </w:rPr>
              <w:t>16</w:t>
            </w:r>
          </w:p>
        </w:tc>
      </w:tr>
      <w:tr w14:paraId="1003C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BCADB45">
            <w:pPr>
              <w:spacing w:line="240" w:lineRule="auto"/>
            </w:pPr>
            <w:r>
              <w:rPr>
                <w:rFonts w:ascii="Aptos" w:hAnsi="Aptos"/>
                <w:b w:val="0"/>
                <w:sz w:val="19"/>
              </w:rPr>
              <w:t>Format</w:t>
            </w:r>
          </w:p>
        </w:tc>
        <w:tc>
          <w:tcPr>
            <w:tcW w:w="3360" w:type="dxa"/>
            <w:vAlign w:val="center"/>
          </w:tcPr>
          <w:p w14:paraId="45341A74">
            <w:pPr>
              <w:spacing w:line="240" w:lineRule="auto"/>
            </w:pPr>
            <w:r>
              <w:rPr>
                <w:rFonts w:ascii="Aptos" w:hAnsi="Aptos"/>
                <w:b w:val="0"/>
                <w:sz w:val="19"/>
              </w:rPr>
              <w:t>JSON</w:t>
            </w:r>
          </w:p>
        </w:tc>
        <w:tc>
          <w:tcPr>
            <w:tcW w:w="3360" w:type="dxa"/>
            <w:vAlign w:val="center"/>
          </w:tcPr>
          <w:p w14:paraId="7539C192">
            <w:pPr>
              <w:spacing w:line="240" w:lineRule="auto"/>
            </w:pPr>
            <w:r>
              <w:rPr>
                <w:rFonts w:ascii="Aptos" w:hAnsi="Aptos"/>
                <w:b w:val="0"/>
                <w:sz w:val="19"/>
              </w:rPr>
              <w:t>JSON</w:t>
            </w:r>
          </w:p>
        </w:tc>
      </w:tr>
      <w:tr w14:paraId="6724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C8A90D9">
            <w:pPr>
              <w:spacing w:line="240" w:lineRule="auto"/>
            </w:pPr>
            <w:r>
              <w:rPr>
                <w:rFonts w:ascii="Aptos" w:hAnsi="Aptos"/>
                <w:b w:val="0"/>
                <w:sz w:val="19"/>
              </w:rPr>
              <w:t>Approx. Size</w:t>
            </w:r>
          </w:p>
        </w:tc>
        <w:tc>
          <w:tcPr>
            <w:tcW w:w="3360" w:type="dxa"/>
            <w:vAlign w:val="center"/>
          </w:tcPr>
          <w:p w14:paraId="34AE6E14">
            <w:pPr>
              <w:spacing w:line="240" w:lineRule="auto"/>
            </w:pPr>
            <w:r>
              <w:rPr>
                <w:rFonts w:ascii="Aptos" w:hAnsi="Aptos"/>
                <w:b w:val="0"/>
                <w:sz w:val="19"/>
              </w:rPr>
              <w:t>15.79 MB</w:t>
            </w:r>
          </w:p>
        </w:tc>
        <w:tc>
          <w:tcPr>
            <w:tcW w:w="3360" w:type="dxa"/>
            <w:vAlign w:val="center"/>
          </w:tcPr>
          <w:p w14:paraId="15CABADE">
            <w:pPr>
              <w:spacing w:line="240" w:lineRule="auto"/>
            </w:pPr>
            <w:r>
              <w:rPr>
                <w:rFonts w:ascii="Aptos" w:hAnsi="Aptos"/>
                <w:b w:val="0"/>
                <w:sz w:val="19"/>
              </w:rPr>
              <w:t>0.302 MB</w:t>
            </w:r>
          </w:p>
        </w:tc>
      </w:tr>
      <w:tr w14:paraId="3937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7BD954D">
            <w:pPr>
              <w:spacing w:line="240" w:lineRule="auto"/>
            </w:pPr>
            <w:r>
              <w:rPr>
                <w:rFonts w:ascii="Aptos" w:hAnsi="Aptos"/>
                <w:b w:val="0"/>
                <w:sz w:val="19"/>
              </w:rPr>
              <w:t>Timezone</w:t>
            </w:r>
          </w:p>
        </w:tc>
        <w:tc>
          <w:tcPr>
            <w:tcW w:w="3360" w:type="dxa"/>
            <w:vAlign w:val="center"/>
          </w:tcPr>
          <w:p w14:paraId="790E905E">
            <w:pPr>
              <w:spacing w:line="240" w:lineRule="auto"/>
            </w:pPr>
            <w:r>
              <w:rPr>
                <w:rFonts w:ascii="Aptos" w:hAnsi="Aptos"/>
                <w:b w:val="0"/>
                <w:sz w:val="19"/>
              </w:rPr>
              <w:t>UTC</w:t>
            </w:r>
          </w:p>
        </w:tc>
        <w:tc>
          <w:tcPr>
            <w:tcW w:w="3360" w:type="dxa"/>
            <w:vAlign w:val="center"/>
          </w:tcPr>
          <w:p w14:paraId="147190F5">
            <w:pPr>
              <w:spacing w:line="240" w:lineRule="auto"/>
            </w:pPr>
            <w:r>
              <w:rPr>
                <w:rFonts w:ascii="Aptos" w:hAnsi="Aptos"/>
                <w:b w:val="0"/>
                <w:sz w:val="19"/>
              </w:rPr>
              <w:t>UTC</w:t>
            </w:r>
          </w:p>
        </w:tc>
      </w:tr>
    </w:tbl>
    <w:p w14:paraId="6F8CEB60"/>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92082">
    <w:pPr>
      <w:pStyle w:val="18"/>
      <w:jc w:val="center"/>
    </w:pPr>
    <w:r>
      <w:rPr>
        <w:sz w:val="16"/>
      </w:rPr>
      <w:t>FAST-NUCES Lahore  |  BS Data Science  |  Fall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0A1B2">
    <w:pPr>
      <w:pStyle w:val="19"/>
      <w:jc w:val="right"/>
    </w:pPr>
    <w:r>
      <w:rPr>
        <w:sz w:val="16"/>
      </w:rPr>
      <w:t>DAV • Phase 1 • European Weather &amp; Climate Analytics Lakehouse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BC1C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uiPriority w:val="0"/>
    <w:pPr>
      <w:spacing w:after="200" w:line="276" w:lineRule="auto"/>
    </w:pPr>
    <w:rPr>
      <w:rFonts w:ascii="Aptos" w:hAnsi="Apto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1940</Words>
  <Characters>12378</Characters>
  <Lines>0</Lines>
  <Paragraphs>0</Paragraphs>
  <TotalTime>5</TotalTime>
  <ScaleCrop>false</ScaleCrop>
  <LinksUpToDate>false</LinksUpToDate>
  <CharactersWithSpaces>14067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Adnan Zaka</cp:lastModifiedBy>
  <dcterms:modified xsi:type="dcterms:W3CDTF">2026-09-25T18:29:43Z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eyJoZGlkIjoiYjI2YzAyNjdlMmNkNzhjYWRmMDZmNmU1NzMwMjA0YTAiLCJ1c2VySWQiOiI4ODEzNjI0ODU1ODM5In0=</vt:lpwstr>
  </property>
  <property fmtid="{D5CDD505-2E9C-101B-9397-08002B2CF9AE}" pid="3" name="KSOProductBuildVer">
    <vt:lpwstr>1033-12.1.0.28485</vt:lpwstr>
  </property>
  <property fmtid="{D5CDD505-2E9C-101B-9397-08002B2CF9AE}" pid="4" name="ICV">
    <vt:lpwstr>E37CF795D47840E2BCB67629EA03E745_12</vt:lpwstr>
  </property>
</Properties>
</file>