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5EEFD">
      <w:pPr>
        <w:jc w:val="center"/>
      </w:pPr>
      <w:r>
        <w:rPr>
          <w:rFonts w:ascii="Aptos Display" w:hAnsi="Aptos Display"/>
          <w:b/>
          <w:sz w:val="28"/>
        </w:rPr>
        <w:br w:type="textWrapping"/>
      </w:r>
      <w:r>
        <w:rPr>
          <w:rFonts w:ascii="Aptos Display" w:hAnsi="Aptos Display"/>
          <w:b/>
          <w:sz w:val="28"/>
        </w:rPr>
        <w:t>DATA ANALYSIS &amp; VISUALIZATION</w:t>
      </w:r>
      <w:r>
        <w:rPr>
          <w:rFonts w:ascii="Aptos Display" w:hAnsi="Aptos Display"/>
          <w:b/>
          <w:sz w:val="28"/>
        </w:rPr>
        <w:br w:type="textWrapping"/>
      </w:r>
    </w:p>
    <w:p w14:paraId="7ABAAA24">
      <w:pPr>
        <w:pStyle w:val="36"/>
        <w:jc w:val="center"/>
      </w:pPr>
      <w:r>
        <w:t>Phase 1 Project Proposal</w:t>
      </w:r>
    </w:p>
    <w:p w14:paraId="69985B36">
      <w:pPr>
        <w:jc w:val="center"/>
      </w:pPr>
      <w:r>
        <w:rPr>
          <w:b/>
          <w:sz w:val="36"/>
        </w:rPr>
        <w:t>European Weather &amp; Climate Change Analytics Lakehouse</w:t>
      </w:r>
    </w:p>
    <w:p w14:paraId="52EC8804">
      <w:pPr>
        <w:jc w:val="center"/>
      </w:pPr>
      <w:r>
        <w:rPr>
          <w:i/>
        </w:rPr>
        <w:br w:type="textWrapping"/>
      </w:r>
      <w:r>
        <w:rPr>
          <w:i/>
        </w:rPr>
        <w:t>An End-to-End Data Engineering Pipeline using</w:t>
      </w:r>
      <w:r>
        <w:rPr>
          <w:i/>
        </w:rPr>
        <w:br w:type="textWrapping"/>
      </w:r>
      <w:r>
        <w:rPr>
          <w:i/>
        </w:rPr>
        <w:t>Apache Spark, Databricks, Delta Lake and Medallion Architecture</w:t>
      </w:r>
    </w:p>
    <w:p w14:paraId="6F0B3366">
      <w: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38A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66D3955">
            <w:pPr>
              <w:spacing w:line="240" w:lineRule="auto"/>
            </w:pPr>
            <w:r>
              <w:rPr>
                <w:rFonts w:ascii="Aptos" w:hAnsi="Aptos"/>
                <w:b/>
                <w:sz w:val="19"/>
              </w:rPr>
              <w:t>Field</w:t>
            </w:r>
          </w:p>
        </w:tc>
        <w:tc>
          <w:tcPr>
            <w:tcW w:w="5040" w:type="dxa"/>
            <w:shd w:val="clear" w:color="auto" w:fill="D9EAF7"/>
            <w:vAlign w:val="center"/>
          </w:tcPr>
          <w:p w14:paraId="18F300A7">
            <w:pPr>
              <w:spacing w:line="240" w:lineRule="auto"/>
            </w:pPr>
            <w:r>
              <w:rPr>
                <w:rFonts w:ascii="Aptos" w:hAnsi="Aptos"/>
                <w:b/>
                <w:sz w:val="19"/>
              </w:rPr>
              <w:t>Details</w:t>
            </w:r>
          </w:p>
        </w:tc>
      </w:tr>
      <w:tr w14:paraId="5BE1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5FB6529">
            <w:pPr>
              <w:spacing w:line="240" w:lineRule="auto"/>
            </w:pPr>
            <w:r>
              <w:rPr>
                <w:rFonts w:ascii="Aptos" w:hAnsi="Aptos"/>
                <w:b w:val="0"/>
                <w:sz w:val="19"/>
              </w:rPr>
              <w:t>Course</w:t>
            </w:r>
          </w:p>
        </w:tc>
        <w:tc>
          <w:tcPr>
            <w:tcW w:w="5040" w:type="dxa"/>
            <w:vAlign w:val="center"/>
          </w:tcPr>
          <w:p w14:paraId="2CDA544E">
            <w:pPr>
              <w:spacing w:line="240" w:lineRule="auto"/>
            </w:pPr>
            <w:r>
              <w:rPr>
                <w:rFonts w:ascii="Aptos" w:hAnsi="Aptos"/>
                <w:b w:val="0"/>
                <w:sz w:val="19"/>
              </w:rPr>
              <w:t>Data Analysis &amp; Visualization (DAV)</w:t>
            </w:r>
          </w:p>
        </w:tc>
      </w:tr>
      <w:tr w14:paraId="7016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85625D">
            <w:pPr>
              <w:spacing w:line="240" w:lineRule="auto"/>
            </w:pPr>
            <w:r>
              <w:rPr>
                <w:rFonts w:ascii="Aptos" w:hAnsi="Aptos"/>
                <w:b w:val="0"/>
                <w:sz w:val="19"/>
              </w:rPr>
              <w:t>Student</w:t>
            </w:r>
          </w:p>
        </w:tc>
        <w:tc>
          <w:tcPr>
            <w:tcW w:w="5040" w:type="dxa"/>
            <w:vAlign w:val="center"/>
          </w:tcPr>
          <w:p w14:paraId="0070A665">
            <w:pPr>
              <w:spacing w:line="240" w:lineRule="auto"/>
            </w:pPr>
            <w:r>
              <w:t>Muhammad Adnan Zaka (24I-2537)</w:t>
            </w:r>
          </w:p>
        </w:tc>
      </w:tr>
      <w:tr w14:paraId="0A73B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5BF4824">
            <w:pPr>
              <w:spacing w:line="240" w:lineRule="auto"/>
            </w:pPr>
            <w:r>
              <w:rPr>
                <w:rFonts w:ascii="Aptos" w:hAnsi="Aptos"/>
                <w:b w:val="0"/>
                <w:sz w:val="19"/>
              </w:rPr>
              <w:t>Group Member 2</w:t>
            </w:r>
          </w:p>
        </w:tc>
        <w:tc>
          <w:tcPr>
            <w:tcW w:w="5040" w:type="dxa"/>
            <w:vAlign w:val="center"/>
          </w:tcPr>
          <w:p w14:paraId="61E71111">
            <w:pPr>
              <w:spacing w:line="240" w:lineRule="auto"/>
            </w:pPr>
            <w:r>
              <w:t>Ahmad Azad (24L-2523)</w:t>
            </w:r>
          </w:p>
        </w:tc>
      </w:tr>
      <w:tr w14:paraId="5FD0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72326">
            <w:pPr>
              <w:spacing w:line="240" w:lineRule="auto"/>
            </w:pPr>
            <w:r>
              <w:rPr>
                <w:rFonts w:ascii="Aptos" w:hAnsi="Aptos"/>
                <w:b w:val="0"/>
                <w:sz w:val="19"/>
              </w:rPr>
              <w:t>Program</w:t>
            </w:r>
          </w:p>
        </w:tc>
        <w:tc>
          <w:tcPr>
            <w:tcW w:w="5040" w:type="dxa"/>
            <w:vAlign w:val="center"/>
          </w:tcPr>
          <w:p w14:paraId="255C6927">
            <w:pPr>
              <w:spacing w:line="240" w:lineRule="auto"/>
            </w:pPr>
            <w:r>
              <w:rPr>
                <w:rFonts w:ascii="Aptos" w:hAnsi="Aptos"/>
                <w:b w:val="0"/>
                <w:sz w:val="19"/>
              </w:rPr>
              <w:t>BS Data Science</w:t>
            </w:r>
          </w:p>
        </w:tc>
      </w:tr>
      <w:tr w14:paraId="175C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D4BC193">
            <w:pPr>
              <w:spacing w:line="240" w:lineRule="auto"/>
            </w:pPr>
            <w:r>
              <w:rPr>
                <w:rFonts w:ascii="Aptos" w:hAnsi="Aptos"/>
                <w:b w:val="0"/>
                <w:sz w:val="19"/>
              </w:rPr>
              <w:t>University</w:t>
            </w:r>
          </w:p>
        </w:tc>
        <w:tc>
          <w:tcPr>
            <w:tcW w:w="5040" w:type="dxa"/>
            <w:vAlign w:val="center"/>
          </w:tcPr>
          <w:p w14:paraId="224BA08B">
            <w:pPr>
              <w:spacing w:line="240" w:lineRule="auto"/>
            </w:pPr>
            <w:r>
              <w:rPr>
                <w:rFonts w:ascii="Aptos" w:hAnsi="Aptos"/>
                <w:b w:val="0"/>
                <w:sz w:val="19"/>
              </w:rPr>
              <w:t>FAST-NUCES Lahore</w:t>
            </w:r>
          </w:p>
        </w:tc>
      </w:tr>
      <w:tr w14:paraId="18E7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AAB8B8E">
            <w:pPr>
              <w:spacing w:line="240" w:lineRule="auto"/>
            </w:pPr>
            <w:r>
              <w:rPr>
                <w:rFonts w:ascii="Aptos" w:hAnsi="Aptos"/>
                <w:b w:val="0"/>
                <w:sz w:val="19"/>
              </w:rPr>
              <w:t>Phase</w:t>
            </w:r>
          </w:p>
        </w:tc>
        <w:tc>
          <w:tcPr>
            <w:tcW w:w="5040" w:type="dxa"/>
            <w:vAlign w:val="center"/>
          </w:tcPr>
          <w:p w14:paraId="4CD21F9A">
            <w:pPr>
              <w:spacing w:line="240" w:lineRule="auto"/>
            </w:pPr>
            <w:r>
              <w:rPr>
                <w:rFonts w:ascii="Aptos" w:hAnsi="Aptos"/>
                <w:b w:val="0"/>
                <w:sz w:val="19"/>
              </w:rPr>
              <w:t>Phase 1 – Domain, Data Source &amp; Architecture Proposal</w:t>
            </w:r>
          </w:p>
        </w:tc>
      </w:tr>
      <w:tr w14:paraId="6A74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5DE8965">
            <w:pPr>
              <w:spacing w:line="240" w:lineRule="auto"/>
            </w:pPr>
            <w:r>
              <w:rPr>
                <w:rFonts w:ascii="Aptos" w:hAnsi="Aptos"/>
                <w:b w:val="0"/>
                <w:sz w:val="19"/>
              </w:rPr>
              <w:t>Semester</w:t>
            </w:r>
          </w:p>
        </w:tc>
        <w:tc>
          <w:tcPr>
            <w:tcW w:w="5040" w:type="dxa"/>
            <w:vAlign w:val="center"/>
          </w:tcPr>
          <w:p w14:paraId="3824945C">
            <w:pPr>
              <w:spacing w:line="240" w:lineRule="auto"/>
            </w:pPr>
            <w:r>
              <w:rPr>
                <w:rFonts w:ascii="Aptos" w:hAnsi="Aptos"/>
                <w:b w:val="0"/>
                <w:sz w:val="19"/>
              </w:rPr>
              <w:t>Fall 2026</w:t>
            </w:r>
          </w:p>
        </w:tc>
      </w:tr>
    </w:tbl>
    <w:p w14:paraId="1ECB3171"/>
    <w:p w14:paraId="41C1C47A">
      <w:pPr>
        <w:pStyle w:val="164"/>
        <w:jc w:val="center"/>
      </w:pPr>
      <w:r>
        <w:rPr/>
        <w:t>Project scope: 9 European cities • Hourly historical weather • Full Load 1981–2020 • Incremental Load 2016–2025 • Final analytical coverage 1981–2025</w:t>
      </w:r>
    </w:p>
    <w:p w14:paraId="101CB14B">
      <w:r>
        <w:br w:type="page"/>
      </w:r>
    </w:p>
    <w:p w14:paraId="690D5A56">
      <w:pPr>
        <w:pStyle w:val="2"/>
      </w:pPr>
      <w:r>
        <w:t>1. Project Overview</w:t>
      </w:r>
    </w:p>
    <w:p w14:paraId="71A1D76A">
      <w:r>
        <w:t>Modern analytical systems are not built as simple single-machine scripts when data volume and processing requirements grow. This project designs a distributed data pipeline for European weather and long-term climate trend analytics. The pipeline follows the Lakehouse approach and Medallion Architecture so that data moves through progressive refinement boundaries: Bronze for source-oriented data, Silver for clean and analysis-ready observations, and Gold for business-ready analytical tables.</w:t>
      </w:r>
    </w:p>
    <w:p w14:paraId="758D7347">
      <w:r>
        <w:rPr/>
        <w:t>The finalized implementation ingests historical hourly weather data for 9 European cities using the Open-Meteo Historical Weather API with the ERA5 model. Apache Spark in Databricks is used as the distributed processing engine and Delta Lake provides the reliable Bronze and Silver table/storage layers for Phase 2. Gold-layer analytics and Power BI remain planned for a later project phase.</w:t>
      </w:r>
    </w:p>
    <w:p w14:paraId="217A515C">
      <w:pPr>
        <w:pStyle w:val="3"/>
      </w:pPr>
      <w:r>
        <w:t>1.1 Project Objective</w:t>
      </w:r>
    </w:p>
    <w:p w14:paraId="62C56ECB">
      <w:r>
        <w:rPr/>
        <w:t>The objective is to build an end-to-end pipeline that performs an initial historical Full Load and then processes a separate Incremental Load using Delta Lake MERGE. The finalized Full Load baseline covers 1981–2020, while the incremental window covers 2016–2025 so that 2016–2020 exercises matched records and 2021–2025 adds new observations. The resulting Silver dataset covers 1981–2025.</w:t>
      </w:r>
    </w:p>
    <w:p w14:paraId="6B99EDB2">
      <w:pPr>
        <w:pStyle w:val="3"/>
      </w:pPr>
      <w:r>
        <w:t>1.2 High-Level Flow</w:t>
      </w:r>
    </w:p>
    <w:p w14:paraId="72E50005">
      <w:pPr>
        <w:jc w:val="center"/>
      </w:pPr>
      <w:r>
        <w:rPr>
          <w:b/>
          <w:sz w:val="24"/>
        </w:rPr>
        <w:t>Open-Meteo ERA5 API  →  Bronze  →  Silver  →  Gold (later phase)  →  Power BI</w:t>
      </w:r>
    </w:p>
    <w:p w14:paraId="341FE346">
      <w:pPr>
        <w:pStyle w:val="164"/>
        <w:jc w:val="center"/>
      </w:pPr>
      <w:r>
        <w:rPr/>
        <w:t>Source data → validated/source-oriented → clean &amp; read-optimized → business-ready (later phase) → visualization</w:t>
      </w:r>
    </w:p>
    <w:p w14:paraId="74B94A62">
      <w:pPr>
        <w:pStyle w:val="2"/>
      </w:pPr>
      <w:r>
        <w:t>2. Domain &amp; Data Source Identification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6B92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EF43571">
            <w:pPr>
              <w:spacing w:line="240" w:lineRule="auto"/>
            </w:pPr>
            <w:r>
              <w:rPr>
                <w:rFonts w:ascii="Aptos" w:hAnsi="Aptos"/>
                <w:b/>
                <w:sz w:val="19"/>
              </w:rPr>
              <w:t>Item</w:t>
            </w:r>
          </w:p>
        </w:tc>
        <w:tc>
          <w:tcPr>
            <w:tcW w:w="5040" w:type="dxa"/>
            <w:shd w:val="clear" w:color="auto" w:fill="D9EAF7"/>
            <w:vAlign w:val="center"/>
          </w:tcPr>
          <w:p w14:paraId="71CA9522">
            <w:pPr>
              <w:spacing w:line="240" w:lineRule="auto"/>
            </w:pPr>
            <w:r>
              <w:rPr>
                <w:rFonts w:ascii="Aptos" w:hAnsi="Aptos"/>
                <w:b/>
                <w:sz w:val="19"/>
              </w:rPr>
              <w:t>Selected Design</w:t>
            </w:r>
          </w:p>
        </w:tc>
      </w:tr>
      <w:tr w14:paraId="3095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5CFE389">
            <w:pPr>
              <w:spacing w:line="240" w:lineRule="auto"/>
            </w:pPr>
            <w:r>
              <w:rPr>
                <w:rFonts w:ascii="Aptos" w:hAnsi="Aptos"/>
                <w:b w:val="0"/>
                <w:sz w:val="19"/>
              </w:rPr>
              <w:t>Domain</w:t>
            </w:r>
          </w:p>
        </w:tc>
        <w:tc>
          <w:tcPr>
            <w:tcW w:w="5040" w:type="dxa"/>
            <w:vAlign w:val="center"/>
          </w:tcPr>
          <w:p w14:paraId="2950C266">
            <w:pPr>
              <w:spacing w:line="240" w:lineRule="auto"/>
            </w:pPr>
            <w:r>
              <w:rPr>
                <w:rFonts w:ascii="Aptos" w:hAnsi="Aptos"/>
                <w:b w:val="0"/>
                <w:sz w:val="19"/>
              </w:rPr>
              <w:t>Weather and Climate Analytics</w:t>
            </w:r>
          </w:p>
        </w:tc>
      </w:tr>
      <w:tr w14:paraId="013F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4A83E">
            <w:pPr>
              <w:spacing w:line="240" w:lineRule="auto"/>
            </w:pPr>
            <w:r>
              <w:rPr>
                <w:rFonts w:ascii="Aptos" w:hAnsi="Aptos"/>
                <w:b w:val="0"/>
                <w:sz w:val="19"/>
              </w:rPr>
              <w:t>Geographic Scope</w:t>
            </w:r>
          </w:p>
        </w:tc>
        <w:tc>
          <w:tcPr>
            <w:tcW w:w="5040" w:type="dxa"/>
            <w:vAlign w:val="center"/>
          </w:tcPr>
          <w:p>
            <w:r>
              <w:t>9 European cities across Northern, Western, Central, Southern and Eastern Europe</w:t>
            </w:r>
          </w:p>
        </w:tc>
      </w:tr>
      <w:tr w14:paraId="4FFE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1D2112">
            <w:pPr>
              <w:spacing w:line="240" w:lineRule="auto"/>
            </w:pPr>
            <w:r>
              <w:rPr>
                <w:rFonts w:ascii="Aptos" w:hAnsi="Aptos"/>
                <w:b w:val="0"/>
                <w:sz w:val="19"/>
              </w:rPr>
              <w:t>Source</w:t>
            </w:r>
          </w:p>
        </w:tc>
        <w:tc>
          <w:tcPr>
            <w:tcW w:w="5040" w:type="dxa"/>
            <w:vAlign w:val="center"/>
          </w:tcPr>
          <w:p w14:paraId="4B0331E9">
            <w:pPr>
              <w:spacing w:line="240" w:lineRule="auto"/>
            </w:pPr>
            <w:r>
              <w:rPr>
                <w:rFonts w:ascii="Aptos" w:hAnsi="Aptos"/>
                <w:b w:val="0"/>
                <w:sz w:val="19"/>
              </w:rPr>
              <w:t>Open-Meteo Historical Weather API</w:t>
            </w:r>
          </w:p>
        </w:tc>
      </w:tr>
      <w:tr w14:paraId="3988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C0E1DB4">
            <w:pPr>
              <w:spacing w:line="240" w:lineRule="auto"/>
            </w:pPr>
            <w:r>
              <w:rPr>
                <w:rFonts w:ascii="Aptos" w:hAnsi="Aptos"/>
                <w:b w:val="0"/>
                <w:sz w:val="19"/>
              </w:rPr>
              <w:t>Dataset / Model</w:t>
            </w:r>
          </w:p>
        </w:tc>
        <w:tc>
          <w:tcPr>
            <w:tcW w:w="5040" w:type="dxa"/>
            <w:vAlign w:val="center"/>
          </w:tcPr>
          <w:p w14:paraId="3A04B28D">
            <w:pPr>
              <w:spacing w:line="240" w:lineRule="auto"/>
            </w:pPr>
            <w:r>
              <w:rPr>
                <w:rFonts w:ascii="Aptos" w:hAnsi="Aptos"/>
                <w:b w:val="0"/>
                <w:sz w:val="19"/>
              </w:rPr>
              <w:t>ERA5 historical reanalysis</w:t>
            </w:r>
          </w:p>
        </w:tc>
      </w:tr>
      <w:tr w14:paraId="289BE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C994EC">
            <w:pPr>
              <w:spacing w:line="240" w:lineRule="auto"/>
            </w:pPr>
            <w:r>
              <w:rPr>
                <w:rFonts w:ascii="Aptos" w:hAnsi="Aptos"/>
                <w:b w:val="0"/>
                <w:sz w:val="19"/>
              </w:rPr>
              <w:t>Granularity</w:t>
            </w:r>
          </w:p>
        </w:tc>
        <w:tc>
          <w:tcPr>
            <w:tcW w:w="5040" w:type="dxa"/>
            <w:vAlign w:val="center"/>
          </w:tcPr>
          <w:p w14:paraId="62B8E431">
            <w:pPr>
              <w:spacing w:line="240" w:lineRule="auto"/>
            </w:pPr>
            <w:r>
              <w:rPr>
                <w:rFonts w:ascii="Aptos" w:hAnsi="Aptos"/>
                <w:b w:val="0"/>
                <w:sz w:val="19"/>
              </w:rPr>
              <w:t>Hourly observations</w:t>
            </w:r>
          </w:p>
        </w:tc>
      </w:tr>
      <w:tr w14:paraId="595F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CBE5A2A">
            <w:pPr>
              <w:spacing w:line="240" w:lineRule="auto"/>
            </w:pPr>
            <w:r>
              <w:rPr>
                <w:rFonts w:ascii="Aptos" w:hAnsi="Aptos"/>
                <w:b w:val="0"/>
                <w:sz w:val="19"/>
              </w:rPr>
              <w:t>Production Period</w:t>
            </w:r>
          </w:p>
        </w:tc>
        <w:tc>
          <w:tcPr>
            <w:tcW w:w="5040" w:type="dxa"/>
            <w:vAlign w:val="center"/>
          </w:tcPr>
          <w:p>
            <w:r>
              <w:t>Full Load: 1981-01-01 to 2020-12-31; Final Silver coverage after Incremental: 1981-01-01 to 2025-12-31</w:t>
            </w:r>
          </w:p>
        </w:tc>
      </w:tr>
      <w:tr w14:paraId="2DD9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924AB5">
            <w:pPr>
              <w:spacing w:line="240" w:lineRule="auto"/>
            </w:pPr>
            <w:r>
              <w:rPr>
                <w:rFonts w:ascii="Aptos" w:hAnsi="Aptos"/>
                <w:b w:val="0"/>
                <w:sz w:val="19"/>
              </w:rPr>
              <w:t>Time Standard</w:t>
            </w:r>
          </w:p>
        </w:tc>
        <w:tc>
          <w:tcPr>
            <w:tcW w:w="5040" w:type="dxa"/>
            <w:vAlign w:val="center"/>
          </w:tcPr>
          <w:p w14:paraId="4B624AA7">
            <w:pPr>
              <w:spacing w:line="240" w:lineRule="auto"/>
            </w:pPr>
            <w:r>
              <w:rPr>
                <w:rFonts w:ascii="Aptos" w:hAnsi="Aptos"/>
                <w:b w:val="0"/>
                <w:sz w:val="19"/>
              </w:rPr>
              <w:t>UTC</w:t>
            </w:r>
          </w:p>
        </w:tc>
      </w:tr>
      <w:tr w14:paraId="212B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A325F2B">
            <w:pPr>
              <w:spacing w:line="240" w:lineRule="auto"/>
            </w:pPr>
            <w:r>
              <w:rPr>
                <w:rFonts w:ascii="Aptos" w:hAnsi="Aptos"/>
                <w:b w:val="0"/>
                <w:sz w:val="19"/>
              </w:rPr>
              <w:t>Processing Platform</w:t>
            </w:r>
          </w:p>
        </w:tc>
        <w:tc>
          <w:tcPr>
            <w:tcW w:w="5040" w:type="dxa"/>
            <w:vAlign w:val="center"/>
          </w:tcPr>
          <w:p w14:paraId="72773723">
            <w:pPr>
              <w:spacing w:line="240" w:lineRule="auto"/>
            </w:pPr>
            <w:r>
              <w:rPr>
                <w:rFonts w:ascii="Aptos" w:hAnsi="Aptos"/>
                <w:b w:val="0"/>
                <w:sz w:val="19"/>
              </w:rPr>
              <w:t>Databricks Free Edition + Apache Spark / PySpark</w:t>
            </w:r>
          </w:p>
        </w:tc>
      </w:tr>
      <w:tr w14:paraId="5820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9628585">
            <w:pPr>
              <w:spacing w:line="240" w:lineRule="auto"/>
            </w:pPr>
            <w:r>
              <w:rPr>
                <w:rFonts w:ascii="Aptos" w:hAnsi="Aptos"/>
                <w:b w:val="0"/>
                <w:sz w:val="19"/>
              </w:rPr>
              <w:t>Storage / Table Layer</w:t>
            </w:r>
          </w:p>
        </w:tc>
        <w:tc>
          <w:tcPr>
            <w:tcW w:w="5040" w:type="dxa"/>
            <w:vAlign w:val="center"/>
          </w:tcPr>
          <w:p w14:paraId="60AB6457">
            <w:pPr>
              <w:spacing w:line="240" w:lineRule="auto"/>
            </w:pPr>
            <w:r>
              <w:rPr>
                <w:rFonts w:ascii="Aptos" w:hAnsi="Aptos"/>
                <w:b w:val="0"/>
                <w:sz w:val="19"/>
              </w:rPr>
              <w:t>Delta Lake</w:t>
            </w:r>
          </w:p>
        </w:tc>
      </w:tr>
      <w:tr w14:paraId="40C6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1FB0FCC">
            <w:pPr>
              <w:spacing w:line="240" w:lineRule="auto"/>
            </w:pPr>
            <w:r>
              <w:rPr>
                <w:rFonts w:ascii="Aptos" w:hAnsi="Aptos"/>
                <w:b w:val="0"/>
                <w:sz w:val="19"/>
              </w:rPr>
              <w:t>BI Layer</w:t>
            </w:r>
          </w:p>
        </w:tc>
        <w:tc>
          <w:tcPr>
            <w:tcW w:w="5040" w:type="dxa"/>
            <w:vAlign w:val="center"/>
          </w:tcPr>
          <w:p w14:paraId="63A23B4C">
            <w:pPr>
              <w:spacing w:line="240" w:lineRule="auto"/>
            </w:pPr>
            <w:r>
              <w:rPr>
                <w:rFonts w:ascii="Aptos" w:hAnsi="Aptos"/>
                <w:b w:val="0"/>
                <w:sz w:val="19"/>
              </w:rPr>
              <w:t>Power BI</w:t>
            </w:r>
          </w:p>
        </w:tc>
      </w:tr>
    </w:tbl>
    <w:p w14:paraId="37045708">
      <w:r>
        <w:t>ERA5 is selected to provide a consistent multi-decade historical dataset. The project treats it as reanalysis data rather than claiming that every value is a direct measurement from a weather station at the exact city location.</w:t>
      </w:r>
    </w:p>
    <w:p w14:paraId="23FA4D5E">
      <w:pPr>
        <w:pStyle w:val="3"/>
      </w:pPr>
      <w:r>
        <w:t>2.1 Planned Production Cities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7C7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3A0D714">
            <w:pPr>
              <w:spacing w:line="240" w:lineRule="auto"/>
            </w:pPr>
            <w:r>
              <w:rPr>
                <w:rFonts w:ascii="Aptos" w:hAnsi="Aptos"/>
                <w:b/>
                <w:sz w:val="19"/>
              </w:rPr>
              <w:t>Region</w:t>
            </w:r>
          </w:p>
        </w:tc>
        <w:tc>
          <w:tcPr>
            <w:tcW w:w="5040" w:type="dxa"/>
            <w:shd w:val="clear" w:color="auto" w:fill="D9EAF7"/>
            <w:vAlign w:val="center"/>
          </w:tcPr>
          <w:p w14:paraId="6EF8BE28">
            <w:pPr>
              <w:spacing w:line="240" w:lineRule="auto"/>
            </w:pPr>
            <w:r>
              <w:rPr>
                <w:rFonts w:ascii="Aptos" w:hAnsi="Aptos"/>
                <w:b/>
                <w:sz w:val="19"/>
              </w:rPr>
              <w:t>Cities</w:t>
            </w:r>
          </w:p>
        </w:tc>
      </w:tr>
      <w:tr w14:paraId="1CC1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Northern Europe</w:t>
            </w:r>
          </w:p>
        </w:tc>
        <w:tc>
          <w:tcPr>
            <w:tcW w:w="5040" w:type="dxa"/>
            <w:vAlign w:val="center"/>
          </w:tcPr>
          <w:p>
            <w:r>
              <w:t>Oslo, Stockholm, Helsinki, Copenhagen</w:t>
            </w:r>
          </w:p>
        </w:tc>
      </w:tr>
      <w:tr w14:paraId="07B3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Western Europe</w:t>
            </w:r>
          </w:p>
        </w:tc>
        <w:tc>
          <w:tcPr>
            <w:tcW w:w="5040" w:type="dxa"/>
            <w:vAlign w:val="center"/>
          </w:tcPr>
          <w:p>
            <w:r>
              <w:t>London</w:t>
            </w:r>
          </w:p>
        </w:tc>
      </w:tr>
      <w:tr w14:paraId="0136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Central Europe</w:t>
            </w:r>
          </w:p>
        </w:tc>
        <w:tc>
          <w:tcPr>
            <w:tcW w:w="5040" w:type="dxa"/>
            <w:vAlign w:val="center"/>
          </w:tcPr>
          <w:p>
            <w:r>
              <w:t>Berlin</w:t>
            </w:r>
          </w:p>
        </w:tc>
      </w:tr>
      <w:tr w14:paraId="6844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Southern Europe</w:t>
            </w:r>
          </w:p>
        </w:tc>
        <w:tc>
          <w:tcPr>
            <w:tcW w:w="5040" w:type="dxa"/>
            <w:vAlign w:val="center"/>
          </w:tcPr>
          <w:p>
            <w:r>
              <w:t>Madrid, Rome</w:t>
            </w:r>
          </w:p>
        </w:tc>
      </w:tr>
      <w:tr w14:paraId="32210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Eastern Europe</w:t>
            </w:r>
          </w:p>
        </w:tc>
        <w:tc>
          <w:tcPr>
            <w:tcW w:w="5040" w:type="dxa"/>
            <w:vAlign w:val="center"/>
          </w:tcPr>
          <w:p>
            <w:r>
              <w:t>Warsaw</w:t>
            </w:r>
          </w:p>
        </w:tc>
      </w:tr>
    </w:tbl>
    <w:p w14:paraId="00E22304">
      <w:pPr>
        <w:pStyle w:val="3"/>
      </w:pPr>
      <w:r>
        <w:t>2.2 Weather Variables</w:t>
      </w:r>
    </w:p>
    <w:p w14:paraId="663DBAB5">
      <w:r>
        <w:t>Each hourly observation contains city, country, region and timestamp together with 12 weather variables: temperature_2m, relative_humidity_2m, apparent_temperature, precipitation, rain, snowfall, weather_code, pressure_msl, surface_pressure, cloud_cover, wind_speed_10m and wind_direction_10m.</w:t>
      </w:r>
    </w:p>
    <w:p w14:paraId="652B0D8B">
      <w:pPr>
        <w:pStyle w:val="2"/>
      </w:pPr>
      <w:r>
        <w:t>3. Ingestion Pattern: Full Load + Incremental Load</w:t>
      </w:r>
    </w:p>
    <w:p w14:paraId="0A5E271E">
      <w:r>
        <w:rPr/>
        <w:t>The finalized pipeline uses two ingestion patterns. The Full Load establishes the historical baseline for 1981–2020. The Incremental Load then re-fetches 2016–2025 in a separate raw path and uses MERGE on city + timestamp. The overlap period 2016–2020 tests idempotent matched records and possible revisions, while 2021–2025 is inserted as new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A18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54F8FF92">
            <w:pPr>
              <w:spacing w:line="240" w:lineRule="auto"/>
            </w:pPr>
            <w:r>
              <w:rPr>
                <w:rFonts w:ascii="Aptos" w:hAnsi="Aptos"/>
                <w:b/>
                <w:sz w:val="19"/>
              </w:rPr>
              <w:t>Load Type</w:t>
            </w:r>
          </w:p>
        </w:tc>
        <w:tc>
          <w:tcPr>
            <w:tcW w:w="3360" w:type="dxa"/>
            <w:shd w:val="clear" w:color="auto" w:fill="D9EAF7"/>
            <w:vAlign w:val="center"/>
          </w:tcPr>
          <w:p w14:paraId="71768729">
            <w:pPr>
              <w:spacing w:line="240" w:lineRule="auto"/>
            </w:pPr>
            <w:r>
              <w:rPr>
                <w:rFonts w:ascii="Aptos" w:hAnsi="Aptos"/>
                <w:b/>
                <w:sz w:val="19"/>
              </w:rPr>
              <w:t>Design</w:t>
            </w:r>
          </w:p>
        </w:tc>
        <w:tc>
          <w:tcPr>
            <w:tcW w:w="3360" w:type="dxa"/>
            <w:shd w:val="clear" w:color="auto" w:fill="D9EAF7"/>
            <w:vAlign w:val="center"/>
          </w:tcPr>
          <w:p w14:paraId="10BCB8F9">
            <w:pPr>
              <w:spacing w:line="240" w:lineRule="auto"/>
            </w:pPr>
            <w:r>
              <w:rPr>
                <w:rFonts w:ascii="Aptos" w:hAnsi="Aptos"/>
                <w:b/>
                <w:sz w:val="19"/>
              </w:rPr>
              <w:t>Purpose</w:t>
            </w:r>
          </w:p>
        </w:tc>
      </w:tr>
      <w:tr w14:paraId="32CD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EB05F91">
            <w:pPr>
              <w:spacing w:line="240" w:lineRule="auto"/>
            </w:pPr>
            <w:r>
              <w:rPr>
                <w:rFonts w:ascii="Aptos" w:hAnsi="Aptos"/>
                <w:b w:val="0"/>
                <w:sz w:val="19"/>
              </w:rPr>
              <w:t>Full Load</w:t>
            </w:r>
          </w:p>
        </w:tc>
        <w:tc>
          <w:tcPr>
            <w:tcW w:w="3360" w:type="dxa"/>
            <w:vAlign w:val="center"/>
          </w:tcPr>
          <w:p>
            <w:r>
              <w:t>Fetch hourly ERA5 data for 9 cities from 1981 through 2020, processed as 360 city-year batches.</w:t>
            </w:r>
          </w:p>
        </w:tc>
        <w:tc>
          <w:tcPr>
            <w:tcW w:w="3360" w:type="dxa"/>
            <w:vAlign w:val="center"/>
          </w:tcPr>
          <w:p>
            <w:r>
              <w:t>Create the historical baseline before incremental MERGE.</w:t>
            </w:r>
          </w:p>
        </w:tc>
      </w:tr>
      <w:tr w14:paraId="75AC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F831186">
            <w:pPr>
              <w:spacing w:line="240" w:lineRule="auto"/>
            </w:pPr>
            <w:r>
              <w:rPr>
                <w:rFonts w:ascii="Aptos" w:hAnsi="Aptos"/>
                <w:b w:val="0"/>
                <w:sz w:val="19"/>
              </w:rPr>
              <w:t>Incremental Load</w:t>
            </w:r>
          </w:p>
        </w:tc>
        <w:tc>
          <w:tcPr>
            <w:tcW w:w="3360" w:type="dxa"/>
            <w:vAlign w:val="center"/>
          </w:tcPr>
          <w:p>
            <w:r>
              <w:t>Freshly fetch 2016–2025 for the same 9 cities (90 city-year batches, executed as two 5-year chunks) and MERGE on city + timestamp.</w:t>
            </w:r>
          </w:p>
        </w:tc>
        <w:tc>
          <w:tcPr>
            <w:tcW w:w="3360" w:type="dxa"/>
            <w:vAlign w:val="center"/>
          </w:tcPr>
          <w:p>
            <w:r>
              <w:t>Exercise matched/idempotent records for 2016–2020 and insert new 2021–2025 observations.</w:t>
            </w:r>
          </w:p>
        </w:tc>
      </w:tr>
    </w:tbl>
    <w:p w14:paraId="7C515CF5">
      <w:r>
        <w:t>Incremental processing is separated from the historical full-load path for traceability. Each city-year is processed as a parameterized batch, written through Bronze, transformed to Silver, and merged idempotently. The implementation also records load_timestamp, batch_id, load_type, execution logs and error logs so that reruns can be validated without creating duplicate city-timestamp records. A dedicated parameterized backfill workflow can restore deleted Silver data from Bronze, or rebuild Bronze from persisted Raw JSON before restoring Silver when both downstream layers are missing.</w:t>
      </w:r>
    </w:p>
    <w:p w14:paraId="7D5F9EF2">
      <w:pPr>
        <w:pStyle w:val="2"/>
      </w:pPr>
      <w:r>
        <w:t>4. Data Samples &amp; Volume Estimation</w:t>
      </w:r>
    </w:p>
    <w:p w14:paraId="7F8C396D">
      <w:r>
        <w:rPr/>
        <w:t>The original Phase 1 source samples remain valid for demonstrating the API structure. The finalized production scope was reduced to 9 cities to meet the course volume targets within Databricks Free Edition while still retaining multi-region European coverage.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D9B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9EAF7"/>
            <w:vAlign w:val="center"/>
          </w:tcPr>
          <w:p>
            <w:r>
              <w:t>Original Phase 1 Sample</w:t>
            </w:r>
          </w:p>
        </w:tc>
        <w:tc>
          <w:tcPr>
            <w:tcW w:w="2016" w:type="dxa"/>
            <w:shd w:val="clear" w:color="auto" w:fill="D9EAF7"/>
            <w:vAlign w:val="center"/>
          </w:tcPr>
          <w:p w14:paraId="54CB4909">
            <w:pPr>
              <w:spacing w:line="240" w:lineRule="auto"/>
            </w:pPr>
            <w:r>
              <w:rPr>
                <w:rFonts w:ascii="Aptos" w:hAnsi="Aptos"/>
                <w:b/>
                <w:sz w:val="19"/>
              </w:rPr>
              <w:t>Period</w:t>
            </w:r>
          </w:p>
        </w:tc>
        <w:tc>
          <w:tcPr>
            <w:tcW w:w="2016" w:type="dxa"/>
            <w:shd w:val="clear" w:color="auto" w:fill="D9EAF7"/>
            <w:vAlign w:val="center"/>
          </w:tcPr>
          <w:p w14:paraId="374B8B0F">
            <w:pPr>
              <w:spacing w:line="240" w:lineRule="auto"/>
            </w:pPr>
            <w:r>
              <w:rPr>
                <w:rFonts w:ascii="Aptos" w:hAnsi="Aptos"/>
                <w:b/>
                <w:sz w:val="19"/>
              </w:rPr>
              <w:t>Cities</w:t>
            </w:r>
          </w:p>
        </w:tc>
        <w:tc>
          <w:tcPr>
            <w:tcW w:w="2016" w:type="dxa"/>
            <w:shd w:val="clear" w:color="auto" w:fill="D9EAF7"/>
            <w:vAlign w:val="center"/>
          </w:tcPr>
          <w:p w14:paraId="06D07B76">
            <w:pPr>
              <w:spacing w:line="240" w:lineRule="auto"/>
            </w:pPr>
            <w:r>
              <w:rPr>
                <w:rFonts w:ascii="Aptos" w:hAnsi="Aptos"/>
                <w:b/>
                <w:sz w:val="19"/>
              </w:rPr>
              <w:t>Rows</w:t>
            </w:r>
          </w:p>
        </w:tc>
        <w:tc>
          <w:tcPr>
            <w:tcW w:w="2016" w:type="dxa"/>
            <w:shd w:val="clear" w:color="auto" w:fill="D9EAF7"/>
            <w:vAlign w:val="center"/>
          </w:tcPr>
          <w:p w14:paraId="5EA3960C">
            <w:pPr>
              <w:spacing w:line="240" w:lineRule="auto"/>
            </w:pPr>
            <w:r>
              <w:rPr>
                <w:rFonts w:ascii="Aptos" w:hAnsi="Aptos"/>
                <w:b/>
                <w:sz w:val="19"/>
              </w:rPr>
              <w:t>Size</w:t>
            </w:r>
          </w:p>
        </w:tc>
      </w:tr>
      <w:tr w14:paraId="6A5E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E60BB59">
            <w:pPr>
              <w:spacing w:line="240" w:lineRule="auto"/>
            </w:pPr>
            <w:r>
              <w:rPr>
                <w:rFonts w:ascii="Aptos" w:hAnsi="Aptos"/>
                <w:b w:val="0"/>
                <w:sz w:val="19"/>
              </w:rPr>
              <w:t>Full Load Sample</w:t>
            </w:r>
          </w:p>
        </w:tc>
        <w:tc>
          <w:tcPr>
            <w:tcW w:w="2016" w:type="dxa"/>
            <w:vAlign w:val="center"/>
          </w:tcPr>
          <w:p w14:paraId="18B875D7">
            <w:pPr>
              <w:spacing w:line="240" w:lineRule="auto"/>
            </w:pPr>
            <w:r>
              <w:rPr>
                <w:rFonts w:ascii="Aptos" w:hAnsi="Aptos"/>
                <w:b w:val="0"/>
                <w:sz w:val="19"/>
              </w:rPr>
              <w:t>01 Jan 2024 – 31 Dec 2024</w:t>
            </w:r>
          </w:p>
        </w:tc>
        <w:tc>
          <w:tcPr>
            <w:tcW w:w="2016" w:type="dxa"/>
            <w:vAlign w:val="center"/>
          </w:tcPr>
          <w:p w14:paraId="4A1F9194">
            <w:pPr>
              <w:spacing w:line="240" w:lineRule="auto"/>
            </w:pPr>
            <w:r>
              <w:rPr>
                <w:rFonts w:ascii="Aptos" w:hAnsi="Aptos"/>
                <w:b w:val="0"/>
                <w:sz w:val="19"/>
              </w:rPr>
              <w:t>5</w:t>
            </w:r>
          </w:p>
        </w:tc>
        <w:tc>
          <w:tcPr>
            <w:tcW w:w="2016" w:type="dxa"/>
            <w:vAlign w:val="center"/>
          </w:tcPr>
          <w:p w14:paraId="6CF471DA">
            <w:pPr>
              <w:spacing w:line="240" w:lineRule="auto"/>
            </w:pPr>
            <w:r>
              <w:rPr>
                <w:rFonts w:ascii="Aptos" w:hAnsi="Aptos"/>
                <w:b w:val="0"/>
                <w:sz w:val="19"/>
              </w:rPr>
              <w:t>43,920</w:t>
            </w:r>
          </w:p>
        </w:tc>
        <w:tc>
          <w:tcPr>
            <w:tcW w:w="2016" w:type="dxa"/>
            <w:vAlign w:val="center"/>
          </w:tcPr>
          <w:p w14:paraId="2B736B2C">
            <w:pPr>
              <w:spacing w:line="240" w:lineRule="auto"/>
            </w:pPr>
            <w:r>
              <w:rPr>
                <w:rFonts w:ascii="Aptos" w:hAnsi="Aptos"/>
                <w:b w:val="0"/>
                <w:sz w:val="19"/>
              </w:rPr>
              <w:t>~15.79 MB</w:t>
            </w:r>
          </w:p>
        </w:tc>
      </w:tr>
      <w:tr w14:paraId="224F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433A659">
            <w:pPr>
              <w:spacing w:line="240" w:lineRule="auto"/>
            </w:pPr>
            <w:r>
              <w:rPr>
                <w:rFonts w:ascii="Aptos" w:hAnsi="Aptos"/>
                <w:b w:val="0"/>
                <w:sz w:val="19"/>
              </w:rPr>
              <w:t>Incremental Sample</w:t>
            </w:r>
          </w:p>
        </w:tc>
        <w:tc>
          <w:tcPr>
            <w:tcW w:w="2016" w:type="dxa"/>
            <w:vAlign w:val="center"/>
          </w:tcPr>
          <w:p w14:paraId="4C19DF26">
            <w:pPr>
              <w:spacing w:line="240" w:lineRule="auto"/>
            </w:pPr>
            <w:r>
              <w:rPr>
                <w:rFonts w:ascii="Aptos" w:hAnsi="Aptos"/>
                <w:b w:val="0"/>
                <w:sz w:val="19"/>
              </w:rPr>
              <w:t>01 Jan 2025 – 07 Jan 2025</w:t>
            </w:r>
          </w:p>
        </w:tc>
        <w:tc>
          <w:tcPr>
            <w:tcW w:w="2016" w:type="dxa"/>
            <w:vAlign w:val="center"/>
          </w:tcPr>
          <w:p w14:paraId="241AF446">
            <w:pPr>
              <w:spacing w:line="240" w:lineRule="auto"/>
            </w:pPr>
            <w:r>
              <w:rPr>
                <w:rFonts w:ascii="Aptos" w:hAnsi="Aptos"/>
                <w:b w:val="0"/>
                <w:sz w:val="19"/>
              </w:rPr>
              <w:t>5</w:t>
            </w:r>
          </w:p>
        </w:tc>
        <w:tc>
          <w:tcPr>
            <w:tcW w:w="2016" w:type="dxa"/>
            <w:vAlign w:val="center"/>
          </w:tcPr>
          <w:p w14:paraId="2CAC9524">
            <w:pPr>
              <w:spacing w:line="240" w:lineRule="auto"/>
            </w:pPr>
            <w:r>
              <w:rPr>
                <w:rFonts w:ascii="Aptos" w:hAnsi="Aptos"/>
                <w:b w:val="0"/>
                <w:sz w:val="19"/>
              </w:rPr>
              <w:t>840</w:t>
            </w:r>
          </w:p>
        </w:tc>
        <w:tc>
          <w:tcPr>
            <w:tcW w:w="2016" w:type="dxa"/>
            <w:vAlign w:val="center"/>
          </w:tcPr>
          <w:p w14:paraId="5F6561DA">
            <w:pPr>
              <w:spacing w:line="240" w:lineRule="auto"/>
            </w:pPr>
            <w:r>
              <w:rPr>
                <w:rFonts w:ascii="Aptos" w:hAnsi="Aptos"/>
                <w:b w:val="0"/>
                <w:sz w:val="19"/>
              </w:rPr>
              <w:t>~0.302 MB</w:t>
            </w:r>
          </w:p>
        </w:tc>
      </w:tr>
    </w:tbl>
    <w:p w14:paraId="6E2826EF">
      <w:r>
        <w:rPr/>
        <w:t>The original Phase 1 sample contains five representative cities and demonstrates the same hourly schema used in production. In the finalized implementation, the Full Load covers 9 cities for 1981–2020 (360 city-year batches), while the Incremental Load covers 9 cities for 2016–2025 (90 city-year batches, executed as two 5-year chunks).</w:t>
      </w:r>
    </w:p>
    <w:p w14:paraId="5E0133C2">
      <w:pPr>
        <w:pStyle w:val="3"/>
      </w:pPr>
    </w:p>
    <w:p w14:paraId="399A27C1">
      <w:pPr>
        <w:pStyle w:val="3"/>
      </w:pPr>
      <w:r>
        <w:t>4.1 Production Volume Estimate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AA9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2FBCB7EB">
            <w:pPr>
              <w:spacing w:line="240" w:lineRule="auto"/>
            </w:pPr>
            <w:r>
              <w:rPr>
                <w:rFonts w:ascii="Aptos" w:hAnsi="Aptos"/>
                <w:b/>
                <w:sz w:val="19"/>
              </w:rPr>
              <w:t>Measure</w:t>
            </w:r>
          </w:p>
        </w:tc>
        <w:tc>
          <w:tcPr>
            <w:tcW w:w="5040" w:type="dxa"/>
            <w:shd w:val="clear" w:color="auto" w:fill="D9EAF7"/>
            <w:vAlign w:val="center"/>
          </w:tcPr>
          <w:p w14:paraId="31481E78">
            <w:pPr>
              <w:spacing w:line="240" w:lineRule="auto"/>
            </w:pPr>
            <w:r>
              <w:rPr>
                <w:rFonts w:ascii="Aptos" w:hAnsi="Aptos"/>
                <w:b/>
                <w:sz w:val="19"/>
              </w:rPr>
              <w:t>Estimate</w:t>
            </w:r>
          </w:p>
        </w:tc>
      </w:tr>
      <w:tr w14:paraId="3EAD1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Full-load baseline rows</w:t>
            </w:r>
          </w:p>
        </w:tc>
        <w:tc>
          <w:tcPr>
            <w:tcW w:w="5040" w:type="dxa"/>
            <w:vAlign w:val="center"/>
          </w:tcPr>
          <w:p>
            <w:r>
              <w:t>3,155,760 hourly observations (9 cities, 1981–2020)</w:t>
            </w:r>
          </w:p>
        </w:tc>
      </w:tr>
      <w:tr w14:paraId="3B02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Final Silver rows</w:t>
            </w:r>
          </w:p>
        </w:tc>
        <w:tc>
          <w:tcPr>
            <w:tcW w:w="5040" w:type="dxa"/>
            <w:vAlign w:val="center"/>
          </w:tcPr>
          <w:p>
            <w:r>
              <w:t>3,550,176 hourly observations (9 cities, 1981–2025)</w:t>
            </w:r>
          </w:p>
        </w:tc>
      </w:tr>
      <w:tr w14:paraId="16D9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Full raw API volume</w:t>
            </w:r>
          </w:p>
        </w:tc>
        <w:tc>
          <w:tcPr>
            <w:tcW w:w="5040" w:type="dxa"/>
            <w:vAlign w:val="center"/>
          </w:tcPr>
          <w:p>
            <w:r>
              <w:t>Approximately 200+ MB target / design</w:t>
            </w:r>
          </w:p>
        </w:tc>
      </w:tr>
      <w:tr w14:paraId="766C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Incremental window</w:t>
            </w:r>
          </w:p>
        </w:tc>
        <w:tc>
          <w:tcPr>
            <w:tcW w:w="5040" w:type="dxa"/>
            <w:vAlign w:val="center"/>
          </w:tcPr>
          <w:p>
            <w:r>
              <w:t>2016–2025; 90 city-year batches</w:t>
            </w:r>
          </w:p>
        </w:tc>
      </w:tr>
      <w:tr w14:paraId="52F0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Incremental raw volume</w:t>
            </w:r>
          </w:p>
        </w:tc>
        <w:tc>
          <w:tcPr>
            <w:tcW w:w="5040" w:type="dxa"/>
            <w:vAlign w:val="center"/>
          </w:tcPr>
          <w:p>
            <w:r>
              <w:t>57.52 MB measured after the incremental runs</w:t>
            </w:r>
          </w:p>
        </w:tc>
      </w:tr>
      <w:tr w14:paraId="0DBF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r>
              <w:t>Incremental execution</w:t>
            </w:r>
          </w:p>
        </w:tc>
        <w:tc>
          <w:tcPr>
            <w:tcW w:w="5040" w:type="dxa"/>
            <w:vAlign w:val="center"/>
          </w:tcPr>
          <w:p>
            <w:r>
              <w:t>Two chunks: 2016–2020 and 2021–2025</w:t>
            </w:r>
          </w:p>
        </w:tc>
      </w:tr>
    </w:tbl>
    <w:p w14:paraId="46568C0A">
      <w:r>
        <w:rPr/>
        <w:t>Production volume was revised after implementation testing. The 40-year Full Load was sized to approximately 200+ MB of raw API responses, while the 10-year incremental design targets roughly 50–100 MB. After both incremental chunks, the incremental raw folder measured 57.52 MB. Delta/Parquet storage is smaller because of columnar encoding and compression.</w:t>
      </w:r>
    </w:p>
    <w:p w14:paraId="7B4FFF3F">
      <w:pPr>
        <w:pStyle w:val="2"/>
      </w:pPr>
      <w:r>
        <w:t>5. Security, Privacy &amp; Compliance</w:t>
      </w:r>
    </w:p>
    <w:p w14:paraId="4EFA32D1">
      <w:r>
        <w:t>No Personally Identifiable Information (PII) is present in the planned dataset. The records describe environmental observations associated with public city locations and timestamps. They do not contain personal names, email addresses, phone numbers, user identifiers, home addresses, financial records, medical records or similar person-level information.</w:t>
      </w:r>
    </w:p>
    <w:p w14:paraId="01993CE8">
      <w:r>
        <w:t>Therefore, masking or hashing of personal fields is not required before Silver. However, Silver still enforces data-quality controls: explicit schema validation, type conversion, null-timestamp checks, duplicate removal on city + timestamp, and range checks such as relative humidity within 0–100% (demonstrated in Notebook 04). Only fields needed for the analytical purpose will be retained.</w:t>
      </w:r>
    </w:p>
    <w:p w14:paraId="1A465A5C">
      <w:pPr>
        <w:pStyle w:val="2"/>
      </w:pPr>
      <w:r>
        <w:t>6. High-Level Medallion Data Modeling</w:t>
      </w:r>
    </w:p>
    <w:p w14:paraId="2D9E9D89">
      <w:r>
        <w:rPr/>
        <w:t>The Medallion Architecture is used as a set of logical, progressive refinement boundaries. Phase 2 implements Bronze and Silver. Gold remains part of the overall project architecture but is planned for a later phase.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D993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4D5D96B8">
            <w:pPr>
              <w:spacing w:line="240" w:lineRule="auto"/>
            </w:pPr>
            <w:r>
              <w:rPr>
                <w:rFonts w:ascii="Aptos" w:hAnsi="Aptos"/>
                <w:b/>
                <w:sz w:val="19"/>
              </w:rPr>
              <w:t>Layer</w:t>
            </w:r>
          </w:p>
        </w:tc>
        <w:tc>
          <w:tcPr>
            <w:tcW w:w="3360" w:type="dxa"/>
            <w:shd w:val="clear" w:color="auto" w:fill="D9EAF7"/>
            <w:vAlign w:val="center"/>
          </w:tcPr>
          <w:p w14:paraId="3D30694E">
            <w:pPr>
              <w:spacing w:line="240" w:lineRule="auto"/>
            </w:pPr>
            <w:r>
              <w:rPr>
                <w:rFonts w:ascii="Aptos" w:hAnsi="Aptos"/>
                <w:b/>
                <w:sz w:val="19"/>
              </w:rPr>
              <w:t>Planned Table(s)</w:t>
            </w:r>
          </w:p>
        </w:tc>
        <w:tc>
          <w:tcPr>
            <w:tcW w:w="3360" w:type="dxa"/>
            <w:shd w:val="clear" w:color="auto" w:fill="D9EAF7"/>
            <w:vAlign w:val="center"/>
          </w:tcPr>
          <w:p w14:paraId="4778BBBD">
            <w:pPr>
              <w:spacing w:line="240" w:lineRule="auto"/>
            </w:pPr>
            <w:r>
              <w:rPr>
                <w:rFonts w:ascii="Aptos" w:hAnsi="Aptos"/>
                <w:b/>
                <w:sz w:val="19"/>
              </w:rPr>
              <w:t>Role</w:t>
            </w:r>
          </w:p>
        </w:tc>
      </w:tr>
      <w:tr w14:paraId="1163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4BB1AE7">
            <w:pPr>
              <w:spacing w:line="240" w:lineRule="auto"/>
            </w:pPr>
            <w:r>
              <w:rPr>
                <w:rFonts w:ascii="Aptos" w:hAnsi="Aptos"/>
                <w:b w:val="0"/>
                <w:sz w:val="19"/>
              </w:rPr>
              <w:t>Bronze</w:t>
            </w:r>
          </w:p>
        </w:tc>
        <w:tc>
          <w:tcPr>
            <w:tcW w:w="3360" w:type="dxa"/>
            <w:vAlign w:val="center"/>
          </w:tcPr>
          <w:p>
            <w:r>
              <w:t>bronze_weather</w:t>
            </w:r>
          </w:p>
        </w:tc>
        <w:tc>
          <w:tcPr>
            <w:tcW w:w="3360" w:type="dxa"/>
            <w:vAlign w:val="center"/>
          </w:tcPr>
          <w:p>
            <w:r>
              <w:t>Implemented in Phase 2: exact source-oriented nested payload plus ingestion metadata and load_timestamp.</w:t>
            </w:r>
          </w:p>
        </w:tc>
      </w:tr>
      <w:tr w14:paraId="6D9D0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D91868">
            <w:pPr>
              <w:spacing w:line="240" w:lineRule="auto"/>
            </w:pPr>
            <w:r>
              <w:rPr>
                <w:rFonts w:ascii="Aptos" w:hAnsi="Aptos"/>
                <w:b w:val="0"/>
                <w:sz w:val="19"/>
              </w:rPr>
              <w:t>Silver</w:t>
            </w:r>
          </w:p>
        </w:tc>
        <w:tc>
          <w:tcPr>
            <w:tcW w:w="3360" w:type="dxa"/>
            <w:vAlign w:val="center"/>
          </w:tcPr>
          <w:p>
            <w:r>
              <w:t>silver_weather</w:t>
            </w:r>
          </w:p>
        </w:tc>
        <w:tc>
          <w:tcPr>
            <w:tcW w:w="3360" w:type="dxa"/>
            <w:vAlign w:val="center"/>
          </w:tcPr>
          <w:p>
            <w:r>
              <w:t>Implemented in Phase 2: clean, typed, deduplicated hourly observations; MERGE key = city + timestamp.</w:t>
            </w:r>
          </w:p>
        </w:tc>
      </w:tr>
      <w:tr w14:paraId="25BF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2EC06D7">
            <w:pPr>
              <w:spacing w:line="240" w:lineRule="auto"/>
            </w:pPr>
            <w:r>
              <w:rPr>
                <w:rFonts w:ascii="Aptos" w:hAnsi="Aptos"/>
                <w:b w:val="0"/>
                <w:sz w:val="19"/>
              </w:rPr>
              <w:t>Gold</w:t>
            </w:r>
          </w:p>
        </w:tc>
        <w:tc>
          <w:tcPr>
            <w:tcW w:w="3360" w:type="dxa"/>
            <w:vAlign w:val="center"/>
          </w:tcPr>
          <w:p w14:paraId="5F359576">
            <w:pPr>
              <w:spacing w:line="240" w:lineRule="auto"/>
            </w:pPr>
            <w:r>
              <w:rPr>
                <w:rFonts w:ascii="Aptos" w:hAnsi="Aptos"/>
                <w:b w:val="0"/>
                <w:sz w:val="19"/>
              </w:rPr>
              <w:t>gold_daily_weather; gold_monthly_climate; gold_annual_climate; gold_extreme_weather</w:t>
            </w:r>
          </w:p>
        </w:tc>
        <w:tc>
          <w:tcPr>
            <w:tcW w:w="3360" w:type="dxa"/>
            <w:vAlign w:val="center"/>
          </w:tcPr>
          <w:p>
            <w:r>
              <w:t>Planned for later phase; not part of Phase 2 implementation deliverables.</w:t>
            </w:r>
          </w:p>
        </w:tc>
      </w:tr>
    </w:tbl>
    <w:p w14:paraId="71956961">
      <w:pPr>
        <w:pStyle w:val="3"/>
      </w:pPr>
      <w:r>
        <w:t>6.1 Bronze Layer</w:t>
      </w:r>
    </w:p>
    <w:p w14:paraId="4F3E59FD">
      <w:r>
        <w:rPr/>
        <w:t>Bronze is the landing/source-oriented layer. Exact Open-Meteo API responses are read with an explicit nested schema and stored with metadata including source, city, country, region, batch_id, load_type, raw_file_path and load_timestamp. Full and incremental batches are traceable and can be reprocessed downstream.</w:t>
      </w:r>
    </w:p>
    <w:p w14:paraId="3192D8FE">
      <w:pPr>
        <w:pStyle w:val="3"/>
      </w:pPr>
      <w:r>
        <w:t>6.2 Silver Layer</w:t>
      </w:r>
    </w:p>
    <w:p w14:paraId="212F4E11">
      <w:r>
        <w:rPr/>
        <w:t>Silver converts the nested hourly arrays into a clean analytical structure with one observation per city per hour. Transformations include arrays_zip + explode, explicit type casting, TIMESTAMP conversion, duplicate protection on city + timestamp, validation checks and MERGE-based upserts. The final validated Silver dataset contains 3,550,176 rows covering 1981–2025 with zero duplicate city-timestamp keys.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B309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0CE65770">
            <w:pPr>
              <w:spacing w:line="240" w:lineRule="auto"/>
            </w:pPr>
            <w:r>
              <w:rPr>
                <w:rFonts w:ascii="Aptos" w:hAnsi="Aptos"/>
                <w:b/>
                <w:sz w:val="19"/>
              </w:rPr>
              <w:t>Silver Field Group</w:t>
            </w:r>
          </w:p>
        </w:tc>
        <w:tc>
          <w:tcPr>
            <w:tcW w:w="5040" w:type="dxa"/>
            <w:shd w:val="clear" w:color="auto" w:fill="D9EAF7"/>
            <w:vAlign w:val="center"/>
          </w:tcPr>
          <w:p w14:paraId="1182F064">
            <w:pPr>
              <w:spacing w:line="240" w:lineRule="auto"/>
            </w:pPr>
            <w:r>
              <w:rPr>
                <w:rFonts w:ascii="Aptos" w:hAnsi="Aptos"/>
                <w:b/>
                <w:sz w:val="19"/>
              </w:rPr>
              <w:t>Examples</w:t>
            </w:r>
          </w:p>
        </w:tc>
      </w:tr>
      <w:tr w14:paraId="3D8A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934D2CA">
            <w:pPr>
              <w:spacing w:line="240" w:lineRule="auto"/>
            </w:pPr>
            <w:r>
              <w:rPr>
                <w:rFonts w:ascii="Aptos" w:hAnsi="Aptos"/>
                <w:b w:val="0"/>
                <w:sz w:val="19"/>
              </w:rPr>
              <w:t>Location</w:t>
            </w:r>
          </w:p>
        </w:tc>
        <w:tc>
          <w:tcPr>
            <w:tcW w:w="5040" w:type="dxa"/>
            <w:vAlign w:val="center"/>
          </w:tcPr>
          <w:p w14:paraId="372CEF5A">
            <w:pPr>
              <w:spacing w:line="240" w:lineRule="auto"/>
            </w:pPr>
            <w:r>
              <w:rPr>
                <w:rFonts w:ascii="Aptos" w:hAnsi="Aptos"/>
                <w:b w:val="0"/>
                <w:sz w:val="19"/>
              </w:rPr>
              <w:t>city, country, region</w:t>
            </w:r>
          </w:p>
        </w:tc>
      </w:tr>
      <w:tr w14:paraId="0BBF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D393F03">
            <w:pPr>
              <w:spacing w:line="240" w:lineRule="auto"/>
            </w:pPr>
            <w:r>
              <w:rPr>
                <w:rFonts w:ascii="Aptos" w:hAnsi="Aptos"/>
                <w:b w:val="0"/>
                <w:sz w:val="19"/>
              </w:rPr>
              <w:t>Time</w:t>
            </w:r>
          </w:p>
        </w:tc>
        <w:tc>
          <w:tcPr>
            <w:tcW w:w="5040" w:type="dxa"/>
            <w:vAlign w:val="center"/>
          </w:tcPr>
          <w:p w14:paraId="09763514">
            <w:pPr>
              <w:spacing w:line="240" w:lineRule="auto"/>
            </w:pPr>
            <w:r>
              <w:rPr>
                <w:rFonts w:ascii="Aptos" w:hAnsi="Aptos"/>
                <w:b w:val="0"/>
                <w:sz w:val="19"/>
              </w:rPr>
              <w:t>timestamp</w:t>
            </w:r>
          </w:p>
        </w:tc>
      </w:tr>
      <w:tr w14:paraId="6AEE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279BC4F">
            <w:pPr>
              <w:spacing w:line="240" w:lineRule="auto"/>
            </w:pPr>
            <w:r>
              <w:rPr>
                <w:rFonts w:ascii="Aptos" w:hAnsi="Aptos"/>
                <w:b w:val="0"/>
                <w:sz w:val="19"/>
              </w:rPr>
              <w:t>Temperature / Humidity</w:t>
            </w:r>
          </w:p>
        </w:tc>
        <w:tc>
          <w:tcPr>
            <w:tcW w:w="5040" w:type="dxa"/>
            <w:vAlign w:val="center"/>
          </w:tcPr>
          <w:p w14:paraId="67B5C33C">
            <w:pPr>
              <w:spacing w:line="240" w:lineRule="auto"/>
            </w:pPr>
            <w:r>
              <w:rPr>
                <w:rFonts w:ascii="Aptos" w:hAnsi="Aptos"/>
                <w:b w:val="0"/>
                <w:sz w:val="19"/>
              </w:rPr>
              <w:t>temperature_2m, apparent_temperature, relative_humidity_2m</w:t>
            </w:r>
          </w:p>
        </w:tc>
      </w:tr>
      <w:tr w14:paraId="4192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352C256">
            <w:pPr>
              <w:spacing w:line="240" w:lineRule="auto"/>
            </w:pPr>
            <w:r>
              <w:rPr>
                <w:rFonts w:ascii="Aptos" w:hAnsi="Aptos"/>
                <w:b w:val="0"/>
                <w:sz w:val="19"/>
              </w:rPr>
              <w:t>Precipitation</w:t>
            </w:r>
          </w:p>
        </w:tc>
        <w:tc>
          <w:tcPr>
            <w:tcW w:w="5040" w:type="dxa"/>
            <w:vAlign w:val="center"/>
          </w:tcPr>
          <w:p w14:paraId="784B4078">
            <w:pPr>
              <w:spacing w:line="240" w:lineRule="auto"/>
            </w:pPr>
            <w:r>
              <w:rPr>
                <w:rFonts w:ascii="Aptos" w:hAnsi="Aptos"/>
                <w:b w:val="0"/>
                <w:sz w:val="19"/>
              </w:rPr>
              <w:t>precipitation, rain, snowfall, weather_code</w:t>
            </w:r>
          </w:p>
        </w:tc>
      </w:tr>
      <w:tr w14:paraId="1E2F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D921A1C">
            <w:pPr>
              <w:spacing w:line="240" w:lineRule="auto"/>
            </w:pPr>
            <w:r>
              <w:rPr>
                <w:rFonts w:ascii="Aptos" w:hAnsi="Aptos"/>
                <w:b w:val="0"/>
                <w:sz w:val="19"/>
              </w:rPr>
              <w:t>Pressure / Cloud</w:t>
            </w:r>
          </w:p>
        </w:tc>
        <w:tc>
          <w:tcPr>
            <w:tcW w:w="5040" w:type="dxa"/>
            <w:vAlign w:val="center"/>
          </w:tcPr>
          <w:p w14:paraId="3BD2983D">
            <w:pPr>
              <w:spacing w:line="240" w:lineRule="auto"/>
            </w:pPr>
            <w:r>
              <w:rPr>
                <w:rFonts w:ascii="Aptos" w:hAnsi="Aptos"/>
                <w:b w:val="0"/>
                <w:sz w:val="19"/>
              </w:rPr>
              <w:t>pressure_msl, surface_pressure, cloud_cover</w:t>
            </w:r>
          </w:p>
        </w:tc>
      </w:tr>
      <w:tr w14:paraId="3D9F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4C23C39">
            <w:pPr>
              <w:spacing w:line="240" w:lineRule="auto"/>
            </w:pPr>
            <w:r>
              <w:rPr>
                <w:rFonts w:ascii="Aptos" w:hAnsi="Aptos"/>
                <w:b w:val="0"/>
                <w:sz w:val="19"/>
              </w:rPr>
              <w:t>Wind</w:t>
            </w:r>
          </w:p>
        </w:tc>
        <w:tc>
          <w:tcPr>
            <w:tcW w:w="5040" w:type="dxa"/>
            <w:vAlign w:val="center"/>
          </w:tcPr>
          <w:p w14:paraId="6A5C66C8">
            <w:pPr>
              <w:spacing w:line="240" w:lineRule="auto"/>
            </w:pPr>
            <w:r>
              <w:rPr>
                <w:rFonts w:ascii="Aptos" w:hAnsi="Aptos"/>
                <w:b w:val="0"/>
                <w:sz w:val="19"/>
              </w:rPr>
              <w:t>wind_speed_10m, wind_direction_10m</w:t>
            </w:r>
          </w:p>
        </w:tc>
      </w:tr>
    </w:tbl>
    <w:p w14:paraId="34769655">
      <w:pPr>
        <w:pStyle w:val="3"/>
      </w:pPr>
      <w:r>
        <w:t>6.3 Gold Layer</w:t>
      </w:r>
    </w:p>
    <w:p w14:paraId="5A8B0614">
      <w:r>
        <w:rPr/>
        <w:t>Gold is retained as the planned business-ready layer for a later project phase. It will aggregate Silver into daily, monthly, annual and extreme-weather tables for downstream analytics and Power BI; it is not part of the Phase 2 implementation deliverables.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222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51F80647">
            <w:pPr>
              <w:spacing w:line="240" w:lineRule="auto"/>
            </w:pPr>
            <w:r>
              <w:rPr>
                <w:rFonts w:ascii="Aptos" w:hAnsi="Aptos"/>
                <w:b/>
                <w:sz w:val="19"/>
              </w:rPr>
              <w:t>Gold Output</w:t>
            </w:r>
          </w:p>
        </w:tc>
        <w:tc>
          <w:tcPr>
            <w:tcW w:w="5040" w:type="dxa"/>
            <w:shd w:val="clear" w:color="auto" w:fill="D9EAF7"/>
            <w:vAlign w:val="center"/>
          </w:tcPr>
          <w:p w14:paraId="7130793B">
            <w:pPr>
              <w:spacing w:line="240" w:lineRule="auto"/>
            </w:pPr>
            <w:r>
              <w:rPr>
                <w:rFonts w:ascii="Aptos" w:hAnsi="Aptos"/>
                <w:b/>
                <w:sz w:val="19"/>
              </w:rPr>
              <w:t>Example Measures</w:t>
            </w:r>
          </w:p>
        </w:tc>
      </w:tr>
      <w:tr w14:paraId="0C3A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13AA5AD">
            <w:pPr>
              <w:spacing w:line="240" w:lineRule="auto"/>
            </w:pPr>
            <w:r>
              <w:rPr>
                <w:rFonts w:ascii="Aptos" w:hAnsi="Aptos"/>
                <w:b w:val="0"/>
                <w:sz w:val="19"/>
              </w:rPr>
              <w:t>Daily Weather</w:t>
            </w:r>
          </w:p>
        </w:tc>
        <w:tc>
          <w:tcPr>
            <w:tcW w:w="5040" w:type="dxa"/>
            <w:vAlign w:val="center"/>
          </w:tcPr>
          <w:p w14:paraId="6B1D5DBD">
            <w:pPr>
              <w:spacing w:line="240" w:lineRule="auto"/>
            </w:pPr>
            <w:r>
              <w:rPr>
                <w:rFonts w:ascii="Aptos" w:hAnsi="Aptos"/>
                <w:b w:val="0"/>
                <w:sz w:val="19"/>
              </w:rPr>
              <w:t>daily average/min/max temperature, daily precipitation, snowfall</w:t>
            </w:r>
          </w:p>
        </w:tc>
      </w:tr>
      <w:tr w14:paraId="1577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7ACB319">
            <w:pPr>
              <w:spacing w:line="240" w:lineRule="auto"/>
            </w:pPr>
            <w:r>
              <w:rPr>
                <w:rFonts w:ascii="Aptos" w:hAnsi="Aptos"/>
                <w:b w:val="0"/>
                <w:sz w:val="19"/>
              </w:rPr>
              <w:t>Monthly Climate</w:t>
            </w:r>
          </w:p>
        </w:tc>
        <w:tc>
          <w:tcPr>
            <w:tcW w:w="5040" w:type="dxa"/>
            <w:vAlign w:val="center"/>
          </w:tcPr>
          <w:p w14:paraId="12D03386">
            <w:pPr>
              <w:spacing w:line="240" w:lineRule="auto"/>
            </w:pPr>
            <w:r>
              <w:rPr>
                <w:rFonts w:ascii="Aptos" w:hAnsi="Aptos"/>
                <w:b w:val="0"/>
                <w:sz w:val="19"/>
              </w:rPr>
              <w:t>monthly average temperature, precipitation totals, seasonal comparisons</w:t>
            </w:r>
          </w:p>
        </w:tc>
      </w:tr>
      <w:tr w14:paraId="4432C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5F670C7F">
            <w:pPr>
              <w:spacing w:line="240" w:lineRule="auto"/>
            </w:pPr>
            <w:r>
              <w:rPr>
                <w:rFonts w:ascii="Aptos" w:hAnsi="Aptos"/>
                <w:b w:val="0"/>
                <w:sz w:val="19"/>
              </w:rPr>
              <w:t>Annual Climate</w:t>
            </w:r>
          </w:p>
        </w:tc>
        <w:tc>
          <w:tcPr>
            <w:tcW w:w="5040" w:type="dxa"/>
            <w:vAlign w:val="center"/>
          </w:tcPr>
          <w:p w14:paraId="351E3D00">
            <w:pPr>
              <w:spacing w:line="240" w:lineRule="auto"/>
            </w:pPr>
            <w:r>
              <w:rPr>
                <w:rFonts w:ascii="Aptos" w:hAnsi="Aptos"/>
                <w:b w:val="0"/>
                <w:sz w:val="19"/>
              </w:rPr>
              <w:t>annual avg/min/max temperature, total precipitation, average humidity</w:t>
            </w:r>
          </w:p>
        </w:tc>
      </w:tr>
      <w:tr w14:paraId="3F73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7ED527D">
            <w:pPr>
              <w:spacing w:line="240" w:lineRule="auto"/>
            </w:pPr>
            <w:r>
              <w:rPr>
                <w:rFonts w:ascii="Aptos" w:hAnsi="Aptos"/>
                <w:b w:val="0"/>
                <w:sz w:val="19"/>
              </w:rPr>
              <w:t>Extreme Weather</w:t>
            </w:r>
          </w:p>
        </w:tc>
        <w:tc>
          <w:tcPr>
            <w:tcW w:w="5040" w:type="dxa"/>
            <w:vAlign w:val="center"/>
          </w:tcPr>
          <w:p w14:paraId="73344641">
            <w:pPr>
              <w:spacing w:line="240" w:lineRule="auto"/>
            </w:pPr>
            <w:r>
              <w:rPr>
                <w:rFonts w:ascii="Aptos" w:hAnsi="Aptos"/>
                <w:b w:val="0"/>
                <w:sz w:val="19"/>
              </w:rPr>
              <w:t>hot-day counts, heavy-rainfall counts/observations, extreme temperature indicators</w:t>
            </w:r>
          </w:p>
        </w:tc>
      </w:tr>
    </w:tbl>
    <w:p>
      <w:pPr>
        <w:pStyle w:val="3"/>
      </w:pPr>
      <w:r>
        <w:t>6.4 Proposed Gold Star Schema</w:t>
      </w:r>
    </w:p>
    <w:p>
      <w:r>
        <w:t>For the later analytical phase, the Gold layer will use a star schema so that Power BI and analytical queries can work with a simple fact-and-dimension model. The central fact table will store hourly weather observations, while city and date dimensions will provide descriptive context. This schema is a planned Gold-layer design and is not part of the Phase 2 implementation.</w:t>
      </w:r>
    </w:p>
    <w:tbl>
      <w:tblPr>
        <w:tblStyle w:val="35"/>
        <w:tblW w:type="auto" w:w="0"/>
        <w:tblLook w:firstColumn="1" w:firstRow="1" w:lastColumn="0" w:lastRow="0" w:noHBand="0" w:noVBand="1" w:val="04A0"/>
      </w:tblPr>
      <w:tblGrid>
        <w:gridCol w:w="2520"/>
        <w:gridCol w:w="2520"/>
        <w:gridCol w:w="2520"/>
        <w:gridCol w:w="2520"/>
      </w:tblGrid>
      <w:tr>
        <w:tc>
          <w:tcPr>
            <w:tcW w:type="dxa" w:w="2520"/>
          </w:tcPr>
          <w:p>
            <w:r>
              <w:t>Table</w:t>
            </w:r>
          </w:p>
        </w:tc>
        <w:tc>
          <w:tcPr>
            <w:tcW w:type="dxa" w:w="2520"/>
          </w:tcPr>
          <w:p>
            <w:r>
              <w:t>Key / Grain</w:t>
            </w:r>
          </w:p>
        </w:tc>
        <w:tc>
          <w:tcPr>
            <w:tcW w:type="dxa" w:w="2520"/>
          </w:tcPr>
          <w:p>
            <w:r>
              <w:t>Main Fields</w:t>
            </w:r>
          </w:p>
        </w:tc>
        <w:tc>
          <w:tcPr>
            <w:tcW w:type="dxa" w:w="2520"/>
          </w:tcPr>
          <w:p>
            <w:r>
              <w:t>Role</w:t>
            </w:r>
          </w:p>
        </w:tc>
      </w:tr>
      <w:tr>
        <w:tc>
          <w:tcPr>
            <w:tcW w:type="dxa" w:w="2520"/>
          </w:tcPr>
          <w:p>
            <w:r>
              <w:t>dim_city</w:t>
            </w:r>
          </w:p>
        </w:tc>
        <w:tc>
          <w:tcPr>
            <w:tcW w:type="dxa" w:w="2520"/>
          </w:tcPr>
          <w:p>
            <w:r>
              <w:t>city_key (PK)</w:t>
            </w:r>
          </w:p>
        </w:tc>
        <w:tc>
          <w:tcPr>
            <w:tcW w:type="dxa" w:w="2520"/>
          </w:tcPr>
          <w:p>
            <w:r>
              <w:t>city, country, region, latitude, longitude</w:t>
            </w:r>
          </w:p>
        </w:tc>
        <w:tc>
          <w:tcPr>
            <w:tcW w:type="dxa" w:w="2520"/>
          </w:tcPr>
          <w:p>
            <w:r>
              <w:t>Provides geographic attributes for each city.</w:t>
            </w:r>
          </w:p>
        </w:tc>
      </w:tr>
      <w:tr>
        <w:tc>
          <w:tcPr>
            <w:tcW w:type="dxa" w:w="2520"/>
          </w:tcPr>
          <w:p>
            <w:r>
              <w:t>dim_date</w:t>
            </w:r>
          </w:p>
        </w:tc>
        <w:tc>
          <w:tcPr>
            <w:tcW w:type="dxa" w:w="2520"/>
          </w:tcPr>
          <w:p>
            <w:r>
              <w:t>date_key (PK)</w:t>
            </w:r>
          </w:p>
        </w:tc>
        <w:tc>
          <w:tcPr>
            <w:tcW w:type="dxa" w:w="2520"/>
          </w:tcPr>
          <w:p>
            <w:r>
              <w:t>date, day, month, month_name, quarter, year, decade, season</w:t>
            </w:r>
          </w:p>
        </w:tc>
        <w:tc>
          <w:tcPr>
            <w:tcW w:type="dxa" w:w="2520"/>
          </w:tcPr>
          <w:p>
            <w:r>
              <w:t>Provides calendar attributes for filtering and trend analysis.</w:t>
            </w:r>
          </w:p>
        </w:tc>
      </w:tr>
      <w:tr>
        <w:tc>
          <w:tcPr>
            <w:tcW w:type="dxa" w:w="2520"/>
          </w:tcPr>
          <w:p>
            <w:r>
              <w:t>fact_weather</w:t>
            </w:r>
          </w:p>
        </w:tc>
        <w:tc>
          <w:tcPr>
            <w:tcW w:type="dxa" w:w="2520"/>
          </w:tcPr>
          <w:p>
            <w:r>
              <w:t>One row per city per hour; city_key + timestamp as business grain</w:t>
            </w:r>
          </w:p>
        </w:tc>
        <w:tc>
          <w:tcPr>
            <w:tcW w:type="dxa" w:w="2520"/>
          </w:tcPr>
          <w:p>
            <w:r>
              <w:t>city_key (FK), date_key (FK), timestamp, temperature_2m, relative_humidity_2m, apparent_temperature, precipitation, rain, snowfall, weather_code, pressure_msl, surface_pressure, cloud_cover, wind_speed_10m, wind_direction_10m</w:t>
            </w:r>
          </w:p>
        </w:tc>
        <w:tc>
          <w:tcPr>
            <w:tcW w:type="dxa" w:w="2520"/>
          </w:tcPr>
          <w:p>
            <w:r>
              <w:t>Central hourly fact table containing weather measurements.</w:t>
            </w:r>
          </w:p>
        </w:tc>
      </w:tr>
    </w:tbl>
    <w:p>
      <w:r>
        <w:t>Relationship design: dim_city 1→many fact_weather and dim_date 1→many fact_weather. Daily, monthly, annual and extreme-weather Gold summaries can then be built from the fact table without changing the Bronze or Silver pipeline.</w:t>
      </w:r>
    </w:p>
    <w:p w14:paraId="3A5AF38F">
      <w:pPr>
        <w:pStyle w:val="2"/>
      </w:pPr>
      <w:r>
        <w:t>7. DAV Concepts Applied in the Project</w:t>
      </w:r>
    </w:p>
    <w:p w14:paraId="59802925">
      <w:r>
        <w:t>The project follows the Data Analysis Lifecycle as an iterative process rather than a one-time linear script. The analytical question determines what data is needed; the data is then acquired, prepared, explored and transformed into information for communication. If the available data cannot answer a question reliably, the question must be refined or appropriate additional data must be acquired.</w:t>
      </w:r>
    </w:p>
    <w:p w14:paraId="1CDE5EA2">
      <w:r>
        <w:t>Data preparation makes the observations valid, consistent and algorithm/analysis-ready. Exploratory Data Analysis (EDA) will be used to discover underlying patterns, spot anomalies and formulate hypotheses before final explanatory visualizations are produced.</w:t>
      </w:r>
    </w:p>
    <w:p w14:paraId="4C26F2CD">
      <w:r>
        <w:t>Apache Spark is used as a unified engine for large-scale distributed data processing. Instead of treating the project as one large single-machine script, the workload can be partitioned and processed in parallel. Spark uses DAG-based execution and can keep intermediate data in memory, while Delta Lake acts as the reliable table/storage layer. This separates the processing engine from the data-storage reliability layer.</w:t>
      </w:r>
    </w:p>
    <w:p w14:paraId="599F2290">
      <w:pPr>
        <w:pStyle w:val="2"/>
      </w:pPr>
      <w:r>
        <w:t>8. Business Questions &amp; BI Dashboard Plan</w:t>
      </w:r>
    </w:p>
    <w:p w14:paraId="598AAAF2">
      <w:r>
        <w:rPr/>
        <w:t>The planned Gold layer and Power BI dashboard will turn the processed 1981–2025 weather history into interpretable climate-trend analytics. The dashboard will describe patterns and trends; it will not claim that a simple trend analysis proves causal climate attribution.</w:t>
      </w:r>
    </w:p>
    <w:p w14:paraId="2A5881DA">
      <w:pPr>
        <w:pStyle w:val="23"/>
      </w:pPr>
      <w:r>
        <w:rPr/>
        <w:t>How has annual average temperature changed across selected European cities from 1981 to 2025?</w:t>
      </w:r>
    </w:p>
    <w:p w14:paraId="712E94B1">
      <w:pPr>
        <w:pStyle w:val="23"/>
      </w:pPr>
      <w:r>
        <w:t>How do temperature and precipitation patterns differ by city, region, season and decade?</w:t>
      </w:r>
    </w:p>
    <w:p w14:paraId="5D9B51FD">
      <w:pPr>
        <w:pStyle w:val="23"/>
      </w:pPr>
      <w:r>
        <w:t>How frequently do selected extreme-weather indicators, such as very hot conditions or heavy-rainfall observations, occur over time?</w:t>
      </w:r>
    </w:p>
    <w:p w14:paraId="5FD4AACB">
      <w:pPr>
        <w:pStyle w:val="23"/>
      </w:pPr>
      <w:r>
        <w:t>Which cities or regions show notable differences in long-term weather patterns?</w:t>
      </w:r>
    </w:p>
    <w:p w14:paraId="42E55BA3">
      <w:pPr>
        <w:pStyle w:val="3"/>
      </w:pPr>
      <w:r>
        <w:t>8.1 Proposed Power BI Views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71D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B67CD87">
            <w:pPr>
              <w:spacing w:line="240" w:lineRule="auto"/>
            </w:pPr>
            <w:r>
              <w:rPr>
                <w:rFonts w:ascii="Aptos" w:hAnsi="Aptos"/>
                <w:b/>
                <w:sz w:val="19"/>
              </w:rPr>
              <w:t>Dashboard View</w:t>
            </w:r>
          </w:p>
        </w:tc>
        <w:tc>
          <w:tcPr>
            <w:tcW w:w="5040" w:type="dxa"/>
            <w:shd w:val="clear" w:color="auto" w:fill="D9EAF7"/>
            <w:vAlign w:val="center"/>
          </w:tcPr>
          <w:p w14:paraId="115CEB24">
            <w:pPr>
              <w:spacing w:line="240" w:lineRule="auto"/>
            </w:pPr>
            <w:r>
              <w:rPr>
                <w:rFonts w:ascii="Aptos" w:hAnsi="Aptos"/>
                <w:b/>
                <w:sz w:val="19"/>
              </w:rPr>
              <w:t>Planned Visuals / Metrics</w:t>
            </w:r>
          </w:p>
        </w:tc>
      </w:tr>
      <w:tr w14:paraId="06D6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BE188B0">
            <w:pPr>
              <w:spacing w:line="240" w:lineRule="auto"/>
            </w:pPr>
            <w:r>
              <w:rPr>
                <w:rFonts w:ascii="Aptos" w:hAnsi="Aptos"/>
                <w:b w:val="0"/>
                <w:sz w:val="19"/>
              </w:rPr>
              <w:t>European Climate Overview</w:t>
            </w:r>
          </w:p>
        </w:tc>
        <w:tc>
          <w:tcPr>
            <w:tcW w:w="5040" w:type="dxa"/>
            <w:vAlign w:val="center"/>
          </w:tcPr>
          <w:p w14:paraId="04BFB661">
            <w:pPr>
              <w:spacing w:line="240" w:lineRule="auto"/>
            </w:pPr>
            <w:r>
              <w:rPr>
                <w:rFonts w:ascii="Aptos" w:hAnsi="Aptos"/>
                <w:b w:val="0"/>
                <w:sz w:val="19"/>
              </w:rPr>
              <w:t>Annual average temperature trend; KPI cards for average/min/max temperature and total precipitation; city/region/year filters.</w:t>
            </w:r>
          </w:p>
        </w:tc>
      </w:tr>
      <w:tr w14:paraId="49C0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E0C4F70">
            <w:pPr>
              <w:spacing w:line="240" w:lineRule="auto"/>
            </w:pPr>
            <w:r>
              <w:rPr>
                <w:rFonts w:ascii="Aptos" w:hAnsi="Aptos"/>
                <w:b w:val="0"/>
                <w:sz w:val="19"/>
              </w:rPr>
              <w:t>Climate Trends</w:t>
            </w:r>
          </w:p>
        </w:tc>
        <w:tc>
          <w:tcPr>
            <w:tcW w:w="5040" w:type="dxa"/>
            <w:vAlign w:val="center"/>
          </w:tcPr>
          <w:p w14:paraId="57C68CC8">
            <w:pPr>
              <w:spacing w:line="240" w:lineRule="auto"/>
            </w:pPr>
            <w:r>
              <w:rPr>
                <w:rFonts w:ascii="Aptos" w:hAnsi="Aptos"/>
                <w:b w:val="0"/>
                <w:sz w:val="19"/>
              </w:rPr>
              <w:t>Temperature by decade; annual precipitation trend; seasonal temperature comparison.</w:t>
            </w:r>
          </w:p>
        </w:tc>
      </w:tr>
      <w:tr w14:paraId="442F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42C1E4D">
            <w:pPr>
              <w:spacing w:line="240" w:lineRule="auto"/>
            </w:pPr>
            <w:r>
              <w:rPr>
                <w:rFonts w:ascii="Aptos" w:hAnsi="Aptos"/>
                <w:b w:val="0"/>
                <w:sz w:val="19"/>
              </w:rPr>
              <w:t>Extreme Weather Indicators</w:t>
            </w:r>
          </w:p>
        </w:tc>
        <w:tc>
          <w:tcPr>
            <w:tcW w:w="5040" w:type="dxa"/>
            <w:vAlign w:val="center"/>
          </w:tcPr>
          <w:p w14:paraId="680EC61F">
            <w:pPr>
              <w:spacing w:line="240" w:lineRule="auto"/>
            </w:pPr>
            <w:r>
              <w:rPr>
                <w:rFonts w:ascii="Aptos" w:hAnsi="Aptos"/>
                <w:b w:val="0"/>
                <w:sz w:val="19"/>
              </w:rPr>
              <w:t>Hot-day frequency; heavy-rainfall observations; maximum precipitation / extreme temperature indicators.</w:t>
            </w:r>
          </w:p>
        </w:tc>
      </w:tr>
    </w:tbl>
    <w:p w14:paraId="687D9583">
      <w:r>
        <w:t>Heavy rainfall is treated as a weather indicator, not as proof or prediction of flooding. A true flood analysis would require additional hydrological information such as river discharge, water level or documented flood-event data.</w:t>
      </w:r>
    </w:p>
    <w:p w14:paraId="5D71156D">
      <w:pPr>
        <w:pStyle w:val="2"/>
      </w:pPr>
      <w:r>
        <w:t>9. Engineering Setup &amp; FinOps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10A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4A39A9A4">
            <w:pPr>
              <w:spacing w:line="240" w:lineRule="auto"/>
            </w:pPr>
            <w:r>
              <w:rPr>
                <w:rFonts w:ascii="Aptos" w:hAnsi="Aptos"/>
                <w:b/>
                <w:sz w:val="19"/>
              </w:rPr>
              <w:t>Component</w:t>
            </w:r>
          </w:p>
        </w:tc>
        <w:tc>
          <w:tcPr>
            <w:tcW w:w="5040" w:type="dxa"/>
            <w:shd w:val="clear" w:color="auto" w:fill="D9EAF7"/>
            <w:vAlign w:val="center"/>
          </w:tcPr>
          <w:p w14:paraId="16536282">
            <w:pPr>
              <w:spacing w:line="240" w:lineRule="auto"/>
            </w:pPr>
            <w:r>
              <w:rPr>
                <w:rFonts w:ascii="Aptos" w:hAnsi="Aptos"/>
                <w:b/>
                <w:sz w:val="19"/>
              </w:rPr>
              <w:t>Planned Use</w:t>
            </w:r>
          </w:p>
        </w:tc>
      </w:tr>
      <w:tr w14:paraId="61218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1F35E91">
            <w:pPr>
              <w:spacing w:line="240" w:lineRule="auto"/>
            </w:pPr>
            <w:r>
              <w:rPr>
                <w:rFonts w:ascii="Aptos" w:hAnsi="Aptos"/>
                <w:b w:val="0"/>
                <w:sz w:val="19"/>
              </w:rPr>
              <w:t>Databricks Free Edition</w:t>
            </w:r>
          </w:p>
        </w:tc>
        <w:tc>
          <w:tcPr>
            <w:tcW w:w="5040" w:type="dxa"/>
            <w:vAlign w:val="center"/>
          </w:tcPr>
          <w:p w14:paraId="216461DD">
            <w:pPr>
              <w:spacing w:line="240" w:lineRule="auto"/>
            </w:pPr>
            <w:r>
              <w:rPr>
                <w:rFonts w:ascii="Aptos" w:hAnsi="Aptos"/>
                <w:b w:val="0"/>
                <w:sz w:val="19"/>
              </w:rPr>
              <w:t>Development and Spark execution environment</w:t>
            </w:r>
          </w:p>
        </w:tc>
      </w:tr>
      <w:tr w14:paraId="3865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E1AFDDA">
            <w:pPr>
              <w:spacing w:line="240" w:lineRule="auto"/>
            </w:pPr>
            <w:r>
              <w:rPr>
                <w:rFonts w:ascii="Aptos" w:hAnsi="Aptos"/>
                <w:b w:val="0"/>
                <w:sz w:val="19"/>
              </w:rPr>
              <w:t>Python</w:t>
            </w:r>
          </w:p>
        </w:tc>
        <w:tc>
          <w:tcPr>
            <w:tcW w:w="5040" w:type="dxa"/>
            <w:vAlign w:val="center"/>
          </w:tcPr>
          <w:p w14:paraId="05DB9BA3">
            <w:pPr>
              <w:spacing w:line="240" w:lineRule="auto"/>
            </w:pPr>
            <w:r>
              <w:rPr>
                <w:rFonts w:ascii="Aptos" w:hAnsi="Aptos"/>
                <w:b w:val="0"/>
                <w:sz w:val="19"/>
              </w:rPr>
              <w:t>REST API ingestion and supporting logic</w:t>
            </w:r>
          </w:p>
        </w:tc>
      </w:tr>
      <w:tr w14:paraId="607F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05B712FA">
            <w:pPr>
              <w:spacing w:line="240" w:lineRule="auto"/>
            </w:pPr>
            <w:r>
              <w:rPr>
                <w:rFonts w:ascii="Aptos" w:hAnsi="Aptos"/>
                <w:b w:val="0"/>
                <w:sz w:val="19"/>
              </w:rPr>
              <w:t>Apache Spark / PySpark</w:t>
            </w:r>
          </w:p>
        </w:tc>
        <w:tc>
          <w:tcPr>
            <w:tcW w:w="5040" w:type="dxa"/>
            <w:vAlign w:val="center"/>
          </w:tcPr>
          <w:p w14:paraId="1DEBBE5D">
            <w:pPr>
              <w:spacing w:line="240" w:lineRule="auto"/>
            </w:pPr>
            <w:r>
              <w:rPr>
                <w:rFonts w:ascii="Aptos" w:hAnsi="Aptos"/>
                <w:b w:val="0"/>
                <w:sz w:val="19"/>
              </w:rPr>
              <w:t>Distributed transformation, validation and aggregation</w:t>
            </w:r>
          </w:p>
        </w:tc>
      </w:tr>
      <w:tr w14:paraId="38E6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C29AF18">
            <w:pPr>
              <w:spacing w:line="240" w:lineRule="auto"/>
            </w:pPr>
            <w:r>
              <w:rPr>
                <w:rFonts w:ascii="Aptos" w:hAnsi="Aptos"/>
                <w:b w:val="0"/>
                <w:sz w:val="19"/>
              </w:rPr>
              <w:t>Delta Lake</w:t>
            </w:r>
          </w:p>
        </w:tc>
        <w:tc>
          <w:tcPr>
            <w:tcW w:w="5040" w:type="dxa"/>
            <w:vAlign w:val="center"/>
          </w:tcPr>
          <w:p>
            <w:r>
              <w:t>Bronze and Silver reliable Delta tables in Phase 2; Gold planned later</w:t>
            </w:r>
          </w:p>
        </w:tc>
      </w:tr>
      <w:tr w14:paraId="3152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5D82063">
            <w:pPr>
              <w:spacing w:line="240" w:lineRule="auto"/>
            </w:pPr>
            <w:r>
              <w:rPr>
                <w:rFonts w:ascii="Aptos" w:hAnsi="Aptos"/>
                <w:b w:val="0"/>
                <w:sz w:val="19"/>
              </w:rPr>
              <w:t>GitHub</w:t>
            </w:r>
          </w:p>
        </w:tc>
        <w:tc>
          <w:tcPr>
            <w:tcW w:w="5040" w:type="dxa"/>
            <w:vAlign w:val="center"/>
          </w:tcPr>
          <w:p>
            <w:r>
              <w:t>Version control for notebooks, README, execution guide and project documentation</w:t>
            </w:r>
          </w:p>
        </w:tc>
      </w:tr>
      <w:tr w14:paraId="1725F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8677F12">
            <w:pPr>
              <w:spacing w:line="240" w:lineRule="auto"/>
            </w:pPr>
            <w:r>
              <w:rPr>
                <w:rFonts w:ascii="Aptos" w:hAnsi="Aptos"/>
                <w:b w:val="0"/>
                <w:sz w:val="19"/>
              </w:rPr>
              <w:t>Power BI</w:t>
            </w:r>
          </w:p>
        </w:tc>
        <w:tc>
          <w:tcPr>
            <w:tcW w:w="5040" w:type="dxa"/>
            <w:vAlign w:val="center"/>
          </w:tcPr>
          <w:p w14:paraId="330FBD80">
            <w:pPr>
              <w:spacing w:line="240" w:lineRule="auto"/>
            </w:pPr>
            <w:r>
              <w:rPr>
                <w:rFonts w:ascii="Aptos" w:hAnsi="Aptos"/>
                <w:b w:val="0"/>
                <w:sz w:val="19"/>
              </w:rPr>
              <w:t>Final dashboard and analytical communication</w:t>
            </w:r>
          </w:p>
        </w:tc>
      </w:tr>
    </w:tbl>
    <w:p w14:paraId="775D3464">
      <w:r>
        <w:t>The project uses Databricks Free Edition, so there is no planned infrastructure cost for the course implementation. The historical baseline is processed in city-year batches with resume/retry logic. The finalized Full Load uses 1981–2020, and the 2016–2025 Incremental Load is executed in two 5-year chunks. Fresh incremental API responses are stored separately and merged into Silver without creating duplicate city-timestamp records. Parameterized backfill recovery reuses persisted upstream data and normally does not call the external API again.</w:t>
      </w:r>
    </w:p>
    <w:p w14:paraId="20791739">
      <w:pPr>
        <w:pStyle w:val="2"/>
      </w:pPr>
      <w:r>
        <w:t>10. GitHub Repository Structure</w:t>
      </w:r>
    </w:p>
    <w:p w14:paraId="518D6B76">
      <w:r>
        <w:t>european-climate-analytics-lakehouse/</w:t>
        <w:br/>
        <w:t>├── README.md</w:t>
        <w:br/>
        <w:t>├── data/</w:t>
        <w:br/>
        <w:t>│   ├── raw_full_sample/</w:t>
        <w:br/>
        <w:t>│   └── raw_incremental_sample/</w:t>
        <w:br/>
        <w:t>├── notebooks/</w:t>
        <w:br/>
        <w:t>│   ├── 01_Phase1_Data_Source_and_Samples.ipynb</w:t>
        <w:br/>
        <w:t>│   ├── 02_Raw_API_Ingestion.ipynb</w:t>
        <w:br/>
        <w:t>│   ├── 03_Raw_to_Bronze.ipynb</w:t>
        <w:br/>
        <w:t>│   ├── 04_Bronze_to_Silver.ipynb</w:t>
        <w:br/>
        <w:t>│   ├── 05_MERGE_Incremental_and_Backfill.ipynb</w:t>
        <w:br/>
        <w:t>│   ├── 06_Audit_Logging_and_Testing.ipynb</w:t>
        <w:br/>
        <w:t>│   ├── 07_Run_Full_Pipeline.ipynb</w:t>
        <w:br/>
        <w:t>│   ├── 08_Incremental_Load_2016_2025.ipynb</w:t>
        <w:br/>
        <w:t>│   └── 09_Backfill_Recovery.ipynb</w:t>
        <w:br/>
        <w:t>└── docs/</w:t>
        <w:br/>
        <w:t xml:space="preserve">    └── European_Climate_Lakehouse_Proposal_Phase1_Phase2_Final.docx</w:t>
      </w:r>
    </w:p>
    <w:p w14:paraId="06B8BCFE">
      <w:pPr>
        <w:pStyle w:val="2"/>
      </w:pPr>
      <w:r>
        <w:t>11. Assumptions &amp; Limitations</w:t>
      </w:r>
    </w:p>
    <w:p w14:paraId="553F427C">
      <w:pPr>
        <w:pStyle w:val="23"/>
      </w:pPr>
      <w:r>
        <w:t>ERA5 is reanalysis data; the project does not present every hourly value as a direct station measurement at the exact city point.</w:t>
      </w:r>
    </w:p>
    <w:p w14:paraId="124E02FE">
      <w:pPr>
        <w:pStyle w:val="23"/>
      </w:pPr>
      <w:r>
        <w:t>The analysis focuses on long-term weather/climate trends and indicators; causal attribution requires more specialized climate-science methodology.</w:t>
      </w:r>
    </w:p>
    <w:p w14:paraId="5744BB2A">
      <w:pPr>
        <w:pStyle w:val="23"/>
      </w:pPr>
      <w:r>
        <w:t>Heavy-rainfall indicators do not by themselves represent actual flood events.</w:t>
      </w:r>
    </w:p>
    <w:p w14:paraId="78C7BAB2">
      <w:pPr>
        <w:pStyle w:val="23"/>
      </w:pPr>
      <w:r>
        <w:rPr/>
        <w:t>Raw API volume and Delta/Parquet table size are not expected to match because Delta/Parquet uses columnar encoding and compression. The final Silver dataset contains 3,550,176 hourly observations for 9 cities from 1981 through 2025.</w:t>
      </w:r>
    </w:p>
    <w:p w14:paraId="58A21F7C">
      <w:pPr>
        <w:pStyle w:val="23"/>
      </w:pPr>
      <w:r>
        <w:t>Historical ingestion and incremental ingestion are both batched by city/year to control API usage, improve recoverability and support idempotent reruns. Backfill recovery is parameterized by city and historical date range so selected missing periods can be rebuilt without reprocessing the complete dataset.</w:t>
      </w:r>
    </w:p>
    <w:p w14:paraId="6448D425">
      <w:pPr>
        <w:pStyle w:val="2"/>
      </w:pPr>
      <w:r>
        <w:t>12. Phase 1 Deliverables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D7A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359BA029">
            <w:pPr>
              <w:spacing w:line="240" w:lineRule="auto"/>
            </w:pPr>
            <w:r>
              <w:rPr>
                <w:rFonts w:ascii="Aptos" w:hAnsi="Aptos"/>
                <w:b/>
                <w:sz w:val="19"/>
              </w:rPr>
              <w:t>Deliverable</w:t>
            </w:r>
          </w:p>
        </w:tc>
        <w:tc>
          <w:tcPr>
            <w:tcW w:w="5040" w:type="dxa"/>
            <w:shd w:val="clear" w:color="auto" w:fill="D9EAF7"/>
            <w:vAlign w:val="center"/>
          </w:tcPr>
          <w:p w14:paraId="343E4C24">
            <w:pPr>
              <w:spacing w:line="240" w:lineRule="auto"/>
            </w:pPr>
            <w:r>
              <w:rPr>
                <w:rFonts w:ascii="Aptos" w:hAnsi="Aptos"/>
                <w:b/>
                <w:sz w:val="19"/>
              </w:rPr>
              <w:t>Status / Plan</w:t>
            </w:r>
          </w:p>
        </w:tc>
      </w:tr>
      <w:tr w14:paraId="0236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428E58D">
            <w:pPr>
              <w:spacing w:line="240" w:lineRule="auto"/>
            </w:pPr>
            <w:r>
              <w:rPr>
                <w:rFonts w:ascii="Aptos" w:hAnsi="Aptos"/>
                <w:b w:val="0"/>
                <w:sz w:val="19"/>
              </w:rPr>
              <w:t>Project concept and domain</w:t>
            </w:r>
          </w:p>
        </w:tc>
        <w:tc>
          <w:tcPr>
            <w:tcW w:w="5040" w:type="dxa"/>
            <w:vAlign w:val="center"/>
          </w:tcPr>
          <w:p w14:paraId="09776B9E">
            <w:pPr>
              <w:spacing w:line="240" w:lineRule="auto"/>
            </w:pPr>
            <w:r>
              <w:rPr>
                <w:rFonts w:ascii="Aptos" w:hAnsi="Aptos"/>
                <w:b w:val="0"/>
                <w:sz w:val="19"/>
              </w:rPr>
              <w:t>Defined</w:t>
            </w:r>
          </w:p>
        </w:tc>
      </w:tr>
      <w:tr w14:paraId="7202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AE27710">
            <w:pPr>
              <w:spacing w:line="240" w:lineRule="auto"/>
            </w:pPr>
            <w:r>
              <w:rPr>
                <w:rFonts w:ascii="Aptos" w:hAnsi="Aptos"/>
                <w:b w:val="0"/>
                <w:sz w:val="19"/>
              </w:rPr>
              <w:t>Exact data source</w:t>
            </w:r>
          </w:p>
        </w:tc>
        <w:tc>
          <w:tcPr>
            <w:tcW w:w="5040" w:type="dxa"/>
            <w:vAlign w:val="center"/>
          </w:tcPr>
          <w:p w14:paraId="7C82B418">
            <w:pPr>
              <w:spacing w:line="240" w:lineRule="auto"/>
            </w:pPr>
            <w:r>
              <w:rPr>
                <w:rFonts w:ascii="Aptos" w:hAnsi="Aptos"/>
                <w:b w:val="0"/>
                <w:sz w:val="19"/>
              </w:rPr>
              <w:t>Open-Meteo Historical Weather API – ERA5</w:t>
            </w:r>
          </w:p>
        </w:tc>
      </w:tr>
      <w:tr w14:paraId="11FA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6A39D9">
            <w:pPr>
              <w:spacing w:line="240" w:lineRule="auto"/>
            </w:pPr>
            <w:r>
              <w:rPr>
                <w:rFonts w:ascii="Aptos" w:hAnsi="Aptos"/>
                <w:b w:val="0"/>
                <w:sz w:val="19"/>
              </w:rPr>
              <w:t>Full + Incremental ingestion design</w:t>
            </w:r>
          </w:p>
        </w:tc>
        <w:tc>
          <w:tcPr>
            <w:tcW w:w="5040" w:type="dxa"/>
            <w:vAlign w:val="center"/>
          </w:tcPr>
          <w:p>
            <w:r>
              <w:t>Defined and implemented through Phase 2</w:t>
            </w:r>
          </w:p>
        </w:tc>
      </w:tr>
      <w:tr w14:paraId="0709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D4DEE24">
            <w:pPr>
              <w:spacing w:line="240" w:lineRule="auto"/>
            </w:pPr>
            <w:r>
              <w:rPr>
                <w:rFonts w:ascii="Aptos" w:hAnsi="Aptos"/>
                <w:b w:val="0"/>
                <w:sz w:val="19"/>
              </w:rPr>
              <w:t>Full Load sample</w:t>
            </w:r>
          </w:p>
        </w:tc>
        <w:tc>
          <w:tcPr>
            <w:tcW w:w="5040" w:type="dxa"/>
            <w:vAlign w:val="center"/>
          </w:tcPr>
          <w:p w14:paraId="1B73FBE2">
            <w:pPr>
              <w:spacing w:line="240" w:lineRule="auto"/>
            </w:pPr>
            <w:r>
              <w:rPr>
                <w:rFonts w:ascii="Aptos" w:hAnsi="Aptos"/>
                <w:b w:val="0"/>
                <w:sz w:val="19"/>
              </w:rPr>
              <w:t>5 cities, full year 2024 – prepared</w:t>
            </w:r>
          </w:p>
        </w:tc>
      </w:tr>
      <w:tr w14:paraId="75D78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8BEEC83">
            <w:pPr>
              <w:spacing w:line="240" w:lineRule="auto"/>
            </w:pPr>
            <w:r>
              <w:rPr>
                <w:rFonts w:ascii="Aptos" w:hAnsi="Aptos"/>
                <w:b w:val="0"/>
                <w:sz w:val="19"/>
              </w:rPr>
              <w:t>Incremental Load sample</w:t>
            </w:r>
          </w:p>
        </w:tc>
        <w:tc>
          <w:tcPr>
            <w:tcW w:w="5040" w:type="dxa"/>
            <w:vAlign w:val="center"/>
          </w:tcPr>
          <w:p w14:paraId="1D81B4C8">
            <w:pPr>
              <w:spacing w:line="240" w:lineRule="auto"/>
            </w:pPr>
            <w:r>
              <w:rPr>
                <w:rFonts w:ascii="Aptos" w:hAnsi="Aptos"/>
                <w:b w:val="0"/>
                <w:sz w:val="19"/>
              </w:rPr>
              <w:t>5 cities, 01–07 Jan 2025 – prepared</w:t>
            </w:r>
          </w:p>
        </w:tc>
      </w:tr>
      <w:tr w14:paraId="1033D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13DED3">
            <w:pPr>
              <w:spacing w:line="240" w:lineRule="auto"/>
            </w:pPr>
            <w:r>
              <w:rPr>
                <w:rFonts w:ascii="Aptos" w:hAnsi="Aptos"/>
                <w:b w:val="0"/>
                <w:sz w:val="19"/>
              </w:rPr>
              <w:t>Data volume estimate</w:t>
            </w:r>
          </w:p>
        </w:tc>
        <w:tc>
          <w:tcPr>
            <w:tcW w:w="5040" w:type="dxa"/>
            <w:vAlign w:val="center"/>
          </w:tcPr>
          <w:p>
            <w:r>
              <w:t>Updated using finalized 9-city production scope</w:t>
            </w:r>
          </w:p>
        </w:tc>
      </w:tr>
      <w:tr w14:paraId="1EB06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24BDCD">
            <w:pPr>
              <w:spacing w:line="240" w:lineRule="auto"/>
            </w:pPr>
            <w:r>
              <w:rPr>
                <w:rFonts w:ascii="Aptos" w:hAnsi="Aptos"/>
                <w:b w:val="0"/>
                <w:sz w:val="19"/>
              </w:rPr>
              <w:t>PII/security assessment</w:t>
            </w:r>
          </w:p>
        </w:tc>
        <w:tc>
          <w:tcPr>
            <w:tcW w:w="5040" w:type="dxa"/>
            <w:vAlign w:val="center"/>
          </w:tcPr>
          <w:p w14:paraId="23D7E0D9">
            <w:pPr>
              <w:spacing w:line="240" w:lineRule="auto"/>
            </w:pPr>
            <w:r>
              <w:rPr>
                <w:rFonts w:ascii="Aptos" w:hAnsi="Aptos"/>
                <w:b w:val="0"/>
                <w:sz w:val="19"/>
              </w:rPr>
              <w:t>No PII identified; justification documented</w:t>
            </w:r>
          </w:p>
        </w:tc>
      </w:tr>
      <w:tr w14:paraId="1934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FB8F527">
            <w:pPr>
              <w:spacing w:line="240" w:lineRule="auto"/>
            </w:pPr>
            <w:r>
              <w:rPr>
                <w:rFonts w:ascii="Aptos" w:hAnsi="Aptos"/>
                <w:b w:val="0"/>
                <w:sz w:val="19"/>
              </w:rPr>
              <w:t>Medallion model</w:t>
            </w:r>
          </w:p>
        </w:tc>
        <w:tc>
          <w:tcPr>
            <w:tcW w:w="5040" w:type="dxa"/>
            <w:vAlign w:val="center"/>
          </w:tcPr>
          <w:p>
            <w:r>
              <w:t>Bronze and Silver implemented in Phase 2; Gold planned later</w:t>
            </w:r>
          </w:p>
        </w:tc>
      </w:tr>
      <w:tr w14:paraId="5B62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1F51968A">
            <w:pPr>
              <w:spacing w:line="240" w:lineRule="auto"/>
            </w:pPr>
            <w:r>
              <w:rPr>
                <w:rFonts w:ascii="Aptos" w:hAnsi="Aptos"/>
                <w:b w:val="0"/>
                <w:sz w:val="19"/>
              </w:rPr>
              <w:t>BI/dashboard plan</w:t>
            </w:r>
          </w:p>
        </w:tc>
        <w:tc>
          <w:tcPr>
            <w:tcW w:w="5040" w:type="dxa"/>
            <w:vAlign w:val="center"/>
          </w:tcPr>
          <w:p w14:paraId="1F811A81">
            <w:pPr>
              <w:spacing w:line="240" w:lineRule="auto"/>
            </w:pPr>
            <w:r>
              <w:rPr>
                <w:rFonts w:ascii="Aptos" w:hAnsi="Aptos"/>
                <w:b w:val="0"/>
                <w:sz w:val="19"/>
              </w:rPr>
              <w:t>Defined</w:t>
            </w:r>
          </w:p>
        </w:tc>
      </w:tr>
      <w:tr w14:paraId="6702F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C01F48">
            <w:pPr>
              <w:spacing w:line="240" w:lineRule="auto"/>
            </w:pPr>
            <w:r>
              <w:rPr>
                <w:rFonts w:ascii="Aptos" w:hAnsi="Aptos"/>
                <w:b w:val="0"/>
                <w:sz w:val="19"/>
              </w:rPr>
              <w:t>FinOps approach</w:t>
            </w:r>
          </w:p>
        </w:tc>
        <w:tc>
          <w:tcPr>
            <w:tcW w:w="5040" w:type="dxa"/>
            <w:vAlign w:val="center"/>
          </w:tcPr>
          <w:p w14:paraId="32EC84C0">
            <w:pPr>
              <w:spacing w:line="240" w:lineRule="auto"/>
            </w:pPr>
            <w:r>
              <w:rPr>
                <w:rFonts w:ascii="Aptos" w:hAnsi="Aptos"/>
                <w:b w:val="0"/>
                <w:sz w:val="19"/>
              </w:rPr>
              <w:t>Databricks Free Edition + batching + incremental processing</w:t>
            </w:r>
          </w:p>
        </w:tc>
      </w:tr>
      <w:tr w14:paraId="08931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E4A9C03">
            <w:pPr>
              <w:spacing w:line="240" w:lineRule="auto"/>
            </w:pPr>
            <w:r>
              <w:rPr>
                <w:rFonts w:ascii="Aptos" w:hAnsi="Aptos"/>
                <w:b w:val="0"/>
                <w:sz w:val="19"/>
              </w:rPr>
              <w:t>GitHub repository</w:t>
            </w:r>
          </w:p>
        </w:tc>
        <w:tc>
          <w:tcPr>
            <w:tcW w:w="5040" w:type="dxa"/>
            <w:vAlign w:val="center"/>
          </w:tcPr>
          <w:p>
            <w:r>
              <w:t>Updated with Phase 2 notebooks and documentation</w:t>
            </w:r>
          </w:p>
        </w:tc>
      </w:tr>
    </w:tbl>
    <w:p w14:paraId="17540C13">
      <w:pPr>
        <w:pStyle w:val="2"/>
      </w:pPr>
      <w:r>
        <w:t>13. Conclusion</w:t>
      </w:r>
    </w:p>
    <w:p w14:paraId="1B020E8C">
      <w:r>
        <w:t>The revised European Weather &amp; Climate Change Analytics Lakehouse provides a practical use case for the concepts covered in Data Analysis &amp; Visualization: the Data Analysis Lifecycle, data preparation, Lakehouse architecture, Medallion Architecture, distributed processing, Spark and Delta Lake. The finalized implementation uses a 1981–2020 Full Load followed by a 2016–2025 Incremental Load, producing a validated Silver dataset covering 1981–2025. Bronze and Silver are implemented in Phase 2 together with MERGE-based idempotency, audit logging, schema-drift quarantine and parameterized backfill recovery, while Gold and Power BI remain part of the later analytical phase.</w:t>
      </w:r>
    </w:p>
    <w:p w14:paraId="6E2E2A71">
      <w:pPr>
        <w:pStyle w:val="2"/>
      </w:pPr>
      <w:r>
        <w:rPr/>
        <w:t>Appendix A – Revised Scope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683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r>
              <w:t>Property</w:t>
            </w:r>
          </w:p>
        </w:tc>
        <w:tc>
          <w:tcPr>
            <w:tcW w:w="3360" w:type="dxa"/>
            <w:shd w:val="clear" w:color="auto" w:fill="D9EAF7"/>
            <w:vAlign w:val="center"/>
          </w:tcPr>
          <w:p>
            <w:r>
              <w:t>Full Load</w:t>
            </w:r>
          </w:p>
        </w:tc>
        <w:tc>
          <w:tcPr>
            <w:tcW w:w="3360" w:type="dxa"/>
            <w:shd w:val="clear" w:color="auto" w:fill="D9EAF7"/>
            <w:vAlign w:val="center"/>
          </w:tcPr>
          <w:p>
            <w:r>
              <w:t>Incremental Load</w:t>
            </w:r>
          </w:p>
        </w:tc>
      </w:tr>
      <w:tr w14:paraId="2F1D9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Cities</w:t>
            </w:r>
          </w:p>
        </w:tc>
        <w:tc>
          <w:tcPr>
            <w:tcW w:w="3360" w:type="dxa"/>
            <w:vAlign w:val="center"/>
          </w:tcPr>
          <w:p>
            <w:r>
              <w:t>9</w:t>
            </w:r>
          </w:p>
        </w:tc>
        <w:tc>
          <w:tcPr>
            <w:tcW w:w="3360" w:type="dxa"/>
            <w:vAlign w:val="center"/>
          </w:tcPr>
          <w:p>
            <w:r>
              <w:t>9</w:t>
            </w:r>
          </w:p>
        </w:tc>
      </w:tr>
      <w:tr w14:paraId="1D7F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Period</w:t>
            </w:r>
          </w:p>
        </w:tc>
        <w:tc>
          <w:tcPr>
            <w:tcW w:w="3360" w:type="dxa"/>
            <w:vAlign w:val="center"/>
          </w:tcPr>
          <w:p>
            <w:r>
              <w:t>1981-01-01 to 2020-12-31</w:t>
            </w:r>
          </w:p>
        </w:tc>
        <w:tc>
          <w:tcPr>
            <w:tcW w:w="3360" w:type="dxa"/>
            <w:vAlign w:val="center"/>
          </w:tcPr>
          <w:p>
            <w:r>
              <w:t>2016-01-01 to 2025-12-31</w:t>
            </w:r>
          </w:p>
        </w:tc>
      </w:tr>
      <w:tr w14:paraId="7518E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Execution</w:t>
            </w:r>
          </w:p>
        </w:tc>
        <w:tc>
          <w:tcPr>
            <w:tcW w:w="3360" w:type="dxa"/>
            <w:vAlign w:val="center"/>
          </w:tcPr>
          <w:p>
            <w:r>
              <w:t>360 city-year batches</w:t>
            </w:r>
          </w:p>
        </w:tc>
        <w:tc>
          <w:tcPr>
            <w:tcW w:w="3360" w:type="dxa"/>
            <w:vAlign w:val="center"/>
          </w:tcPr>
          <w:p>
            <w:r>
              <w:t>90 city-year batches in two 5-year chunks</w:t>
            </w:r>
          </w:p>
        </w:tc>
      </w:tr>
      <w:tr w14:paraId="41B02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Granularity</w:t>
            </w:r>
          </w:p>
        </w:tc>
        <w:tc>
          <w:tcPr>
            <w:tcW w:w="3360" w:type="dxa"/>
            <w:vAlign w:val="center"/>
          </w:tcPr>
          <w:p>
            <w:r>
              <w:t>Hourly</w:t>
            </w:r>
          </w:p>
        </w:tc>
        <w:tc>
          <w:tcPr>
            <w:tcW w:w="3360" w:type="dxa"/>
            <w:vAlign w:val="center"/>
          </w:tcPr>
          <w:p>
            <w:r>
              <w:t>Hourly</w:t>
            </w:r>
          </w:p>
        </w:tc>
      </w:tr>
      <w:tr w14:paraId="065E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Rows / Result</w:t>
            </w:r>
          </w:p>
        </w:tc>
        <w:tc>
          <w:tcPr>
            <w:tcW w:w="3360" w:type="dxa"/>
            <w:vAlign w:val="center"/>
          </w:tcPr>
          <w:p>
            <w:r>
              <w:t>3,155,760 baseline rows</w:t>
            </w:r>
          </w:p>
        </w:tc>
        <w:tc>
          <w:tcPr>
            <w:tcW w:w="3360" w:type="dxa"/>
            <w:vAlign w:val="center"/>
          </w:tcPr>
          <w:p>
            <w:r>
              <w:t>Final Silver: 3,550,176 rows</w:t>
            </w:r>
          </w:p>
        </w:tc>
      </w:tr>
      <w:tr w14:paraId="1003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Raw Size</w:t>
            </w:r>
          </w:p>
        </w:tc>
        <w:tc>
          <w:tcPr>
            <w:tcW w:w="3360" w:type="dxa"/>
            <w:vAlign w:val="center"/>
          </w:tcPr>
          <w:p>
            <w:r>
              <w:t>Approximately 200+ MB design target</w:t>
            </w:r>
          </w:p>
        </w:tc>
        <w:tc>
          <w:tcPr>
            <w:tcW w:w="3360" w:type="dxa"/>
            <w:vAlign w:val="center"/>
          </w:tcPr>
          <w:p>
            <w:r>
              <w:t>57.52 MB measured incremental raw folder</w:t>
            </w:r>
          </w:p>
        </w:tc>
      </w:tr>
      <w:tr w14:paraId="6724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MERGE Behavior</w:t>
            </w:r>
          </w:p>
        </w:tc>
        <w:tc>
          <w:tcPr>
            <w:tcW w:w="3360" w:type="dxa"/>
            <w:vAlign w:val="center"/>
          </w:tcPr>
          <w:p>
            <w:r>
              <w:t>Baseline creation</w:t>
            </w:r>
          </w:p>
        </w:tc>
        <w:tc>
          <w:tcPr>
            <w:tcW w:w="3360" w:type="dxa"/>
            <w:vAlign w:val="center"/>
          </w:tcPr>
          <w:p>
            <w:r>
              <w:t>2016–2020 matched; 2021–2025 inserted</w:t>
            </w:r>
          </w:p>
        </w:tc>
      </w:tr>
      <w:tr w14:paraId="3937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r>
              <w:t>Validation</w:t>
            </w:r>
          </w:p>
        </w:tc>
        <w:tc>
          <w:tcPr>
            <w:tcW w:w="3360" w:type="dxa"/>
            <w:vAlign w:val="center"/>
          </w:tcPr>
          <w:p>
            <w:r>
              <w:t>No duplicate city + timestamp</w:t>
            </w:r>
          </w:p>
        </w:tc>
        <w:tc>
          <w:tcPr>
            <w:tcW w:w="3360" w:type="dxa"/>
            <w:vAlign w:val="center"/>
          </w:tcPr>
          <w:p>
            <w:r>
              <w:t>No duplicate city + timestamp; no null timestamps/load_timestamp</w:t>
            </w:r>
          </w:p>
        </w:tc>
      </w:tr>
    </w:tbl>
    <w:p w14:paraId="6F8CEB60"/>
    <w:p>
      <w:r>
        <w:br w:type="page"/>
      </w:r>
    </w:p>
    <w:p>
      <w:pPr>
        <w:pStyle w:val="2"/>
      </w:pPr>
      <w:r>
        <w:t>14. Phase 2 Implementation and Validation Addendum</w:t>
      </w:r>
    </w:p>
    <w:p>
      <w:r>
        <w:t>This addendum records the Phase 2 Raw → Bronze → Silver implementation and verification evidence while preserving the approved Phase 1 project scope. Gold, the star schema and Power BI remain later-phase deliverables.</w:t>
      </w:r>
    </w:p>
    <w:p>
      <w:pPr>
        <w:pStyle w:val="3"/>
      </w:pPr>
      <w:r>
        <w:t>14.1 Production Scope and Measured Outcomes</w:t>
      </w:r>
    </w:p>
    <w:tbl>
      <w:tblPr>
        <w:tblStyle w:val="38"/>
        <w:tblW w:type="auto" w:w="0"/>
        <w:tblLook w:firstColumn="1" w:firstRow="1" w:lastColumn="0" w:lastRow="0" w:noHBand="0" w:noVBand="1" w:val="04A0"/>
      </w:tblPr>
      <w:tblGrid>
        <w:gridCol w:w="5040"/>
        <w:gridCol w:w="5040"/>
      </w:tblGrid>
      <w:tr>
        <w:tc>
          <w:tcPr>
            <w:tcW w:type="dxa" w:w="5040"/>
          </w:tcPr>
          <w:p>
            <w:r>
              <w:t>Measure</w:t>
            </w:r>
          </w:p>
        </w:tc>
        <w:tc>
          <w:tcPr>
            <w:tcW w:type="dxa" w:w="5040"/>
          </w:tcPr>
          <w:p>
            <w:r>
              <w:t>Confirmed result / scope</w:t>
            </w:r>
          </w:p>
        </w:tc>
      </w:tr>
      <w:tr>
        <w:tc>
          <w:tcPr>
            <w:tcW w:type="dxa" w:w="5040"/>
          </w:tcPr>
          <w:p>
            <w:r>
              <w:t>Source</w:t>
            </w:r>
          </w:p>
        </w:tc>
        <w:tc>
          <w:tcPr>
            <w:tcW w:type="dxa" w:w="5040"/>
          </w:tcPr>
          <w:p>
            <w:r>
              <w:t>Open-Meteo Historical Weather API (ERA5; hourly UTC)</w:t>
            </w:r>
          </w:p>
        </w:tc>
      </w:tr>
      <w:tr>
        <w:tc>
          <w:tcPr>
            <w:tcW w:type="dxa" w:w="5040"/>
          </w:tcPr>
          <w:p>
            <w:r>
              <w:t>Cities</w:t>
            </w:r>
          </w:p>
        </w:tc>
        <w:tc>
          <w:tcPr>
            <w:tcW w:type="dxa" w:w="5040"/>
          </w:tcPr>
          <w:p>
            <w:r>
              <w:t>9 European cities</w:t>
            </w:r>
          </w:p>
        </w:tc>
      </w:tr>
      <w:tr>
        <w:tc>
          <w:tcPr>
            <w:tcW w:type="dxa" w:w="5040"/>
          </w:tcPr>
          <w:p>
            <w:r>
              <w:t>Full Load</w:t>
            </w:r>
          </w:p>
        </w:tc>
        <w:tc>
          <w:tcPr>
            <w:tcW w:type="dxa" w:w="5040"/>
          </w:tcPr>
          <w:p>
            <w:r>
              <w:t>1981-01-01 to 2020-12-31; 360 city-year batches</w:t>
            </w:r>
          </w:p>
        </w:tc>
      </w:tr>
      <w:tr>
        <w:tc>
          <w:tcPr>
            <w:tcW w:type="dxa" w:w="5040"/>
          </w:tcPr>
          <w:p>
            <w:r>
              <w:t>Incremental design</w:t>
            </w:r>
          </w:p>
        </w:tc>
        <w:tc>
          <w:tcPr>
            <w:tcW w:type="dxa" w:w="5040"/>
          </w:tcPr>
          <w:p>
            <w:r>
              <w:t>2016-01-01 to 2025-12-31; 90 city-year batches, including 2016–2020 overlap</w:t>
            </w:r>
          </w:p>
        </w:tc>
      </w:tr>
      <w:tr>
        <w:tc>
          <w:tcPr>
            <w:tcW w:type="dxa" w:w="5040"/>
          </w:tcPr>
          <w:p>
            <w:r>
              <w:t>Final Silver observations</w:t>
            </w:r>
          </w:p>
        </w:tc>
        <w:tc>
          <w:tcPr>
            <w:tcW w:type="dxa" w:w="5040"/>
          </w:tcPr>
          <w:p>
            <w:r>
              <w:t>3,550,176</w:t>
            </w:r>
          </w:p>
        </w:tc>
      </w:tr>
      <w:tr>
        <w:tc>
          <w:tcPr>
            <w:tcW w:type="dxa" w:w="5040"/>
          </w:tcPr>
          <w:p>
            <w:r>
              <w:t>Unique city + timestamp keys</w:t>
            </w:r>
          </w:p>
        </w:tc>
        <w:tc>
          <w:tcPr>
            <w:tcW w:type="dxa" w:w="5040"/>
          </w:tcPr>
          <w:p>
            <w:r>
              <w:t>3,550,176 (zero duplicates)</w:t>
            </w:r>
          </w:p>
        </w:tc>
      </w:tr>
      <w:tr>
        <w:tc>
          <w:tcPr>
            <w:tcW w:type="dxa" w:w="5040"/>
          </w:tcPr>
          <w:p>
            <w:r>
              <w:t>Observed timestamp range</w:t>
            </w:r>
          </w:p>
        </w:tc>
        <w:tc>
          <w:tcPr>
            <w:tcW w:type="dxa" w:w="5040"/>
          </w:tcPr>
          <w:p>
            <w:r>
              <w:t>1981-01-01 00:00:00 through 2025-12-31 23:00:00</w:t>
            </w:r>
          </w:p>
        </w:tc>
      </w:tr>
      <w:tr>
        <w:tc>
          <w:tcPr>
            <w:tcW w:type="dxa" w:w="5040"/>
          </w:tcPr>
          <w:p>
            <w:r>
              <w:t>Required operational tables</w:t>
            </w:r>
          </w:p>
        </w:tc>
        <w:tc>
          <w:tcPr>
            <w:tcW w:type="dxa" w:w="5040"/>
          </w:tcPr>
          <w:p>
            <w:r>
              <w:t>bronze_weather, silver_weather, pipeline_execution_logs, pipeline_error_logs, schema_drift_quarantine</w:t>
            </w:r>
          </w:p>
        </w:tc>
      </w:tr>
    </w:tbl>
    <w:p>
      <w:r>
        <w:t>Final table presence, date range, total row count and absence of duplicate Silver keys were verified in the live Databricks environment. These results do not imply that all rubric demonstrations were independently re-executed during document preparation.</w:t>
      </w:r>
    </w:p>
    <w:p>
      <w:pPr>
        <w:pStyle w:val="3"/>
      </w:pPr>
      <w:r>
        <w:t>14.2 Functional Architecture and Data Quality</w:t>
      </w:r>
    </w:p>
    <w:p>
      <w:pPr>
        <w:pStyle w:val="23"/>
      </w:pPr>
      <w:r>
        <w:t>Raw ingestion persists source JSON responses with traceable city, date and batch parameters; the production process includes retry/backoff and resumability.</w:t>
      </w:r>
    </w:p>
    <w:p>
      <w:pPr>
        <w:pStyle w:val="23"/>
      </w:pPr>
      <w:r>
        <w:t>Bronze stores nested source data under an explicit StructType/StructField schema and records source, raw path, batch ID, load type and load timestamp.</w:t>
      </w:r>
    </w:p>
    <w:p>
      <w:pPr>
        <w:pStyle w:val="23"/>
      </w:pPr>
      <w:r>
        <w:t>Silver expands hourly arrays into one typed row per city per UTC hour, applies validation and key-based deduplication, and uses Delta MERGE on (city, timestamp).</w:t>
      </w:r>
    </w:p>
    <w:p>
      <w:pPr>
        <w:pStyle w:val="23"/>
      </w:pPr>
      <w:r>
        <w:t>Execution and error logs capture pipeline operation and failures; quarantine stores records rejected under schema-drift test conditions.</w:t>
      </w:r>
    </w:p>
    <w:p>
      <w:pPr>
        <w:pStyle w:val="23"/>
      </w:pPr>
      <w:r>
        <w:t>The notebooks distinguish production processing (07 Full Load, 08 Incremental) from focused demonstrations (02–06) and parameterized recovery (09).</w:t>
      </w:r>
    </w:p>
    <w:p>
      <w:pPr>
        <w:pStyle w:val="3"/>
      </w:pPr>
      <w:r>
        <w:t>14.3 Rubric Evidence and Test Boundaries</w:t>
      </w:r>
    </w:p>
    <w:tbl>
      <w:tblPr>
        <w:tblStyle w:val="38"/>
        <w:tblW w:type="auto" w:w="0"/>
        <w:tblLook w:firstColumn="1" w:firstRow="1" w:lastColumn="0" w:lastRow="0" w:noHBand="0" w:noVBand="1" w:val="04A0"/>
      </w:tblPr>
      <w:tblGrid>
        <w:gridCol w:w="3360"/>
        <w:gridCol w:w="3360"/>
        <w:gridCol w:w="3360"/>
      </w:tblGrid>
      <w:tr>
        <w:tc>
          <w:tcPr>
            <w:tcW w:type="dxa" w:w="3360"/>
          </w:tcPr>
          <w:p>
            <w:r>
              <w:t>Evidence</w:t>
            </w:r>
          </w:p>
        </w:tc>
        <w:tc>
          <w:tcPr>
            <w:tcW w:type="dxa" w:w="3360"/>
          </w:tcPr>
          <w:p>
            <w:r>
              <w:t>Location</w:t>
            </w:r>
          </w:p>
        </w:tc>
        <w:tc>
          <w:tcPr>
            <w:tcW w:type="dxa" w:w="3360"/>
          </w:tcPr>
          <w:p>
            <w:r>
              <w:t>Verification boundary</w:t>
            </w:r>
          </w:p>
        </w:tc>
      </w:tr>
      <w:tr>
        <w:tc>
          <w:tcPr>
            <w:tcW w:type="dxa" w:w="3360"/>
          </w:tcPr>
          <w:p>
            <w:r>
              <w:t>Explicit schemas, typed Silver records</w:t>
            </w:r>
          </w:p>
        </w:tc>
        <w:tc>
          <w:tcPr>
            <w:tcW w:type="dxa" w:w="3360"/>
          </w:tcPr>
          <w:p>
            <w:r>
              <w:t>03, 04, 07, 08</w:t>
            </w:r>
          </w:p>
        </w:tc>
        <w:tc>
          <w:tcPr>
            <w:tcW w:type="dxa" w:w="3360"/>
          </w:tcPr>
          <w:p>
            <w:r>
              <w:t>Schema definitions and saved outputs</w:t>
            </w:r>
          </w:p>
        </w:tc>
      </w:tr>
      <w:tr>
        <w:tc>
          <w:tcPr>
            <w:tcW w:type="dxa" w:w="3360"/>
          </w:tcPr>
          <w:p>
            <w:r>
              <w:t>Full historical and final Silver coverage</w:t>
            </w:r>
          </w:p>
        </w:tc>
        <w:tc>
          <w:tcPr>
            <w:tcW w:type="dxa" w:w="3360"/>
          </w:tcPr>
          <w:p>
            <w:r>
              <w:t>07, 08</w:t>
            </w:r>
          </w:p>
        </w:tc>
        <w:tc>
          <w:tcPr>
            <w:tcW w:type="dxa" w:w="3360"/>
          </w:tcPr>
          <w:p>
            <w:r>
              <w:t>Full-table read-only checks; 3,550,176 rows and zero duplicate keys confirmed</w:t>
            </w:r>
          </w:p>
        </w:tc>
      </w:tr>
      <w:tr>
        <w:tc>
          <w:tcPr>
            <w:tcW w:type="dxa" w:w="3360"/>
          </w:tcPr>
          <w:p>
            <w:r>
              <w:t>MERGE insert/update/idempotency</w:t>
            </w:r>
          </w:p>
        </w:tc>
        <w:tc>
          <w:tcPr>
            <w:tcW w:type="dxa" w:w="3360"/>
          </w:tcPr>
          <w:p>
            <w:r>
              <w:t>05, 07, 08</w:t>
            </w:r>
          </w:p>
        </w:tc>
        <w:tc>
          <w:tcPr>
            <w:tcW w:type="dxa" w:w="3360"/>
          </w:tcPr>
          <w:p>
            <w:r>
              <w:t>Small isolated test plus production run/log evidence; review saved outputs</w:t>
            </w:r>
          </w:p>
        </w:tc>
      </w:tr>
      <w:tr>
        <w:tc>
          <w:tcPr>
            <w:tcW w:type="dxa" w:w="3360"/>
          </w:tcPr>
          <w:p>
            <w:r>
              <w:t>Execution/error logs</w:t>
            </w:r>
          </w:p>
        </w:tc>
        <w:tc>
          <w:tcPr>
            <w:tcW w:type="dxa" w:w="3360"/>
          </w:tcPr>
          <w:p>
            <w:r>
              <w:t>06, 07, 08, 09</w:t>
            </w:r>
          </w:p>
        </w:tc>
        <w:tc>
          <w:tcPr>
            <w:tcW w:type="dxa" w:w="3360"/>
          </w:tcPr>
          <w:p>
            <w:r>
              <w:t>Operational tables verified present; inspect final batch log results</w:t>
            </w:r>
          </w:p>
        </w:tc>
      </w:tr>
      <w:tr>
        <w:tc>
          <w:tcPr>
            <w:tcW w:type="dxa" w:w="3360"/>
          </w:tcPr>
          <w:p>
            <w:r>
              <w:t>Schema drift and quarantine</w:t>
            </w:r>
          </w:p>
        </w:tc>
        <w:tc>
          <w:tcPr>
            <w:tcW w:type="dxa" w:w="3360"/>
          </w:tcPr>
          <w:p>
            <w:r>
              <w:t>06 and ingestion validation functions</w:t>
            </w:r>
          </w:p>
        </w:tc>
        <w:tc>
          <w:tcPr>
            <w:tcW w:type="dxa" w:w="3360"/>
          </w:tcPr>
          <w:p>
            <w:r>
              <w:t>Controlled test demonstrated separately; source-path automatic handling must be verified in production code</w:t>
            </w:r>
          </w:p>
        </w:tc>
      </w:tr>
      <w:tr>
        <w:tc>
          <w:tcPr>
            <w:tcW w:type="dxa" w:w="3360"/>
          </w:tcPr>
          <w:p>
            <w:r>
              <w:t>Historical backfill/recovery</w:t>
            </w:r>
          </w:p>
        </w:tc>
        <w:tc>
          <w:tcPr>
            <w:tcW w:type="dxa" w:w="3360"/>
          </w:tcPr>
          <w:p>
            <w:r>
              <w:t>09</w:t>
            </w:r>
          </w:p>
        </w:tc>
        <w:tc>
          <w:tcPr>
            <w:tcW w:type="dxa" w:w="3360"/>
          </w:tcPr>
          <w:p>
            <w:r>
              <w:t>Use isolated Silver demo table to prove missing-row restoration from Bronze; Raw-to-Bronze rebuilding is a distinct test</w:t>
            </w:r>
          </w:p>
        </w:tc>
      </w:tr>
      <w:tr>
        <w:tc>
          <w:tcPr>
            <w:tcW w:type="dxa" w:w="3360"/>
          </w:tcPr>
          <w:p>
            <w:r>
              <w:t>Repository and run guide</w:t>
            </w:r>
          </w:p>
        </w:tc>
        <w:tc>
          <w:tcPr>
            <w:tcW w:type="dxa" w:w="3360"/>
          </w:tcPr>
          <w:p>
            <w:r>
              <w:t>README.md / notebooks</w:t>
            </w:r>
          </w:p>
        </w:tc>
        <w:tc>
          <w:tcPr>
            <w:tcW w:type="dxa" w:w="3360"/>
          </w:tcPr>
          <w:p>
            <w:r>
              <w:t>Confirm final exported notebook files and saved outputs on GitHub</w:t>
            </w:r>
          </w:p>
        </w:tc>
      </w:tr>
    </w:tbl>
    <w:p>
      <w:pPr>
        <w:pStyle w:val="3"/>
      </w:pPr>
      <w:r>
        <w:t>14.4 Repeatable Execution and Safety</w:t>
      </w:r>
    </w:p>
    <w:p>
      <w:r>
        <w:t>The persisted production Delta tables do not need to be rebuilt to regenerate read-only evidence. After a session restart, rerun only required imports, configuration and function-definition cells before validations. Avoid rerunning ingestion loops or overwrite-mode demonstrations against production names. Tests that intentionally modify or delete data should use isolated demo tables, never bronze_weather or silver_weather.</w:t>
      </w:r>
    </w:p>
    <w:p>
      <w:pPr>
        <w:pStyle w:val="3"/>
      </w:pPr>
      <w:r>
        <w:t>14.5 Submission Evidence</w:t>
      </w:r>
    </w:p>
    <w:p>
      <w:r>
        <w:t>The submission consists of the GitHub repository URL, notebooks/scripts for the Raw-to-Bronze and Bronze-to-Silver paths, documented Bronze/Silver data models and keys, incremental/backfill run instructions, and saved execution outputs or a short walkthrough. The README documents the Bronze/Silver data models, keys and run instructions.</w:t>
      </w:r>
    </w:p>
    <w:p>
      <w:pPr>
        <w:pStyle w:val="3"/>
      </w:pPr>
      <w:r>
        <w:t>14.6 Phase Boundary</w:t>
      </w:r>
    </w:p>
    <w:p>
      <w:r>
        <w:t>Gold aggregates, the proposed star-schema materialization and Power BI dashboards remain outside the Phase 2 scope and are not claimed as implemented.</w:t>
      </w:r>
    </w:p>
    <w:sectPr>
      <w:headerReference r:id="rId5" w:type="default"/>
      <w:footerReference r:id="rId6" w:type="default"/>
      <w:pgSz w:w="12240" w:h="15840"/>
      <w:pgMar w:top="936" w:right="1080" w:bottom="936" w:left="1080" w:header="504"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2082">
    <w:pPr>
      <w:pStyle w:val="18"/>
      <w:jc w:val="center"/>
    </w:pPr>
    <w:r>
      <w:rPr>
        <w:sz w:val="16"/>
      </w:rPr>
      <w:t>FAST-NUCES Lahore  |  BS Data Science  |  Fall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0A1B2">
    <w:pPr>
      <w:pStyle w:val="19"/>
      <w:jc w:val="right"/>
    </w:pPr>
    <w:r>
      <w:rPr>
        <w:sz w:val="16"/>
      </w:rPr>
      <w:t>DAV • Phase 1 • European Weather &amp; Climate Analytics Lakehouse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BC1C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Small Note"/>
    <w:uiPriority w:val="0"/>
    <w:pPr>
      <w:spacing w:after="200" w:line="276" w:lineRule="auto"/>
    </w:pPr>
    <w:rPr>
      <w:rFonts w:ascii="Aptos" w:hAnsi="Aptos" w:eastAsiaTheme="minorEastAsia"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1940</Words>
  <Characters>12378</Characters>
  <Lines>0</Lines>
  <Paragraphs>0</Paragraphs>
  <TotalTime>5</TotalTime>
  <ScaleCrop>false</ScaleCrop>
  <LinksUpToDate>false</LinksUpToDate>
  <CharactersWithSpaces>14067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Adnan Zaka</cp:lastModifiedBy>
  <dcterms:modified xsi:type="dcterms:W3CDTF">2026-09-25T18:29:43Z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eyJoZGlkIjoiYjI2YzAyNjdlMmNkNzhjYWRmMDZmNmU1NzMwMjA0YTAiLCJ1c2VySWQiOiI4ODEzNjI0ODU1ODM5In0=</vt:lpwstr>
  </property>
  <property fmtid="{D5CDD505-2E9C-101B-9397-08002B2CF9AE}" pid="3" name="KSOProductBuildVer">
    <vt:lpwstr>1033-12.1.0.28485</vt:lpwstr>
  </property>
  <property fmtid="{D5CDD505-2E9C-101B-9397-08002B2CF9AE}" pid="4" name="ICV">
    <vt:lpwstr>E37CF795D47840E2BCB67629EA03E745_12</vt:lpwstr>
  </property>
</Properties>
</file>