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3" w:rsidRPr="006D7AD0" w:rsidRDefault="00FF6F63" w:rsidP="00FF6F63">
      <w:pPr>
        <w:spacing w:after="0"/>
      </w:pPr>
      <w:bookmarkStart w:id="0" w:name="_GoBack"/>
      <w:bookmarkEnd w:id="0"/>
    </w:p>
    <w:tbl>
      <w:tblPr>
        <w:tblStyle w:val="GridTableLight"/>
        <w:tblW w:w="5000" w:type="pct"/>
        <w:tblLayout w:type="fixed"/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1882"/>
        <w:gridCol w:w="1882"/>
        <w:gridCol w:w="1882"/>
        <w:gridCol w:w="1887"/>
      </w:tblGrid>
      <w:tr w:rsidR="00FF6F63" w:rsidRPr="006D7AD0" w:rsidTr="005902AC">
        <w:tc>
          <w:tcPr>
            <w:tcW w:w="714" w:type="pct"/>
          </w:tcPr>
          <w:p w:rsidR="00FF6F63" w:rsidRPr="006D7AD0" w:rsidRDefault="00FF6F63" w:rsidP="005902AC">
            <w:pPr>
              <w:rPr>
                <w:rFonts w:ascii="Arial" w:hAnsi="Arial" w:cs="Arial"/>
                <w:sz w:val="14"/>
              </w:rPr>
            </w:pPr>
            <w:r w:rsidRPr="006D7AD0">
              <w:rPr>
                <w:rFonts w:ascii="Arial" w:hAnsi="Arial" w:cs="Arial"/>
                <w:sz w:val="14"/>
              </w:rPr>
              <w:t xml:space="preserve">◄ </w:t>
            </w:r>
            <w:hyperlink r:id="rId5" w:tooltip="February 2014" w:history="1">
              <w:r w:rsidRPr="006D7AD0">
                <w:rPr>
                  <w:rStyle w:val="Hyperlink"/>
                  <w:rFonts w:ascii="Arial" w:hAnsi="Arial" w:cs="Arial"/>
                  <w:color w:val="auto"/>
                  <w:sz w:val="14"/>
                  <w:u w:val="none"/>
                </w:rPr>
                <w:t>Feb 2014</w:t>
              </w:r>
            </w:hyperlink>
          </w:p>
        </w:tc>
        <w:tc>
          <w:tcPr>
            <w:tcW w:w="3570" w:type="pct"/>
            <w:gridSpan w:val="5"/>
          </w:tcPr>
          <w:p w:rsidR="00FF6F63" w:rsidRPr="006D7AD0" w:rsidRDefault="00FF6F63" w:rsidP="005902A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7AD0">
              <w:rPr>
                <w:rFonts w:ascii="Arial" w:hAnsi="Arial" w:cs="Arial"/>
                <w:b/>
                <w:sz w:val="28"/>
              </w:rPr>
              <w:t>~ March 2014 ~</w:t>
            </w:r>
          </w:p>
        </w:tc>
        <w:tc>
          <w:tcPr>
            <w:tcW w:w="716" w:type="pct"/>
          </w:tcPr>
          <w:p w:rsidR="00FF6F63" w:rsidRPr="006D7AD0" w:rsidRDefault="005176A5" w:rsidP="005902AC">
            <w:pPr>
              <w:jc w:val="right"/>
              <w:rPr>
                <w:rFonts w:ascii="Arial" w:hAnsi="Arial" w:cs="Arial"/>
                <w:sz w:val="14"/>
              </w:rPr>
            </w:pPr>
            <w:hyperlink r:id="rId6" w:tooltip="April 2014" w:history="1">
              <w:r w:rsidR="00FF6F63" w:rsidRPr="006D7AD0">
                <w:rPr>
                  <w:rStyle w:val="Hyperlink"/>
                  <w:rFonts w:ascii="Arial" w:hAnsi="Arial" w:cs="Arial"/>
                  <w:color w:val="auto"/>
                  <w:sz w:val="14"/>
                  <w:u w:val="none"/>
                </w:rPr>
                <w:t>Apr 2014</w:t>
              </w:r>
            </w:hyperlink>
            <w:r w:rsidR="00FF6F63" w:rsidRPr="006D7AD0">
              <w:rPr>
                <w:rFonts w:ascii="Arial" w:hAnsi="Arial" w:cs="Arial"/>
                <w:sz w:val="14"/>
              </w:rPr>
              <w:t xml:space="preserve"> ►</w:t>
            </w:r>
          </w:p>
        </w:tc>
      </w:tr>
      <w:tr w:rsidR="00FF6F63" w:rsidRPr="006D7AD0" w:rsidTr="005902AC"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Sun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Tue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Thu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Fri</w:t>
            </w:r>
          </w:p>
        </w:tc>
        <w:tc>
          <w:tcPr>
            <w:tcW w:w="716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Sat</w:t>
            </w:r>
          </w:p>
        </w:tc>
      </w:tr>
      <w:tr w:rsidR="00FF6F63" w:rsidRPr="006D7AD0" w:rsidTr="005902AC">
        <w:trPr>
          <w:trHeight w:val="1152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152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152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152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Set group 1a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152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1a (group 1b)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Clear group 1b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Set group 2a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152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1a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2a (group 2b)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3572" w:type="pct"/>
            <w:gridSpan w:val="5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  <w:r w:rsidRPr="006D7AD0">
              <w:rPr>
                <w:rStyle w:val="CalendarNumbers"/>
                <w:bCs w:val="0"/>
                <w:color w:val="auto"/>
              </w:rPr>
              <w:t>Notes:</w:t>
            </w:r>
          </w:p>
        </w:tc>
      </w:tr>
    </w:tbl>
    <w:p w:rsidR="00FF6F63" w:rsidRPr="006D7AD0" w:rsidRDefault="00FF6F63" w:rsidP="00FF6F63">
      <w:pPr>
        <w:spacing w:after="0"/>
      </w:pPr>
    </w:p>
    <w:p w:rsidR="00FF6F63" w:rsidRPr="006D7AD0" w:rsidRDefault="00FF6F63" w:rsidP="00FF6F63">
      <w:r w:rsidRPr="006D7AD0">
        <w:br w:type="page"/>
      </w:r>
    </w:p>
    <w:p w:rsidR="00FF6F63" w:rsidRPr="006D7AD0" w:rsidRDefault="00FF6F63" w:rsidP="00FF6F63">
      <w:pPr>
        <w:spacing w:after="0"/>
      </w:pPr>
    </w:p>
    <w:tbl>
      <w:tblPr>
        <w:tblStyle w:val="GridTableLight"/>
        <w:tblW w:w="5000" w:type="pct"/>
        <w:tblLayout w:type="fixed"/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1882"/>
        <w:gridCol w:w="1882"/>
        <w:gridCol w:w="1882"/>
        <w:gridCol w:w="1887"/>
      </w:tblGrid>
      <w:tr w:rsidR="00FF6F63" w:rsidRPr="006D7AD0" w:rsidTr="005902AC">
        <w:tc>
          <w:tcPr>
            <w:tcW w:w="714" w:type="pct"/>
          </w:tcPr>
          <w:p w:rsidR="00FF6F63" w:rsidRPr="006D7AD0" w:rsidRDefault="00FF6F63" w:rsidP="005902AC">
            <w:pPr>
              <w:rPr>
                <w:rFonts w:ascii="Arial" w:hAnsi="Arial" w:cs="Arial"/>
                <w:sz w:val="14"/>
              </w:rPr>
            </w:pPr>
            <w:r w:rsidRPr="006D7AD0">
              <w:rPr>
                <w:rFonts w:ascii="Arial" w:hAnsi="Arial" w:cs="Arial"/>
                <w:sz w:val="14"/>
              </w:rPr>
              <w:t xml:space="preserve">◄ </w:t>
            </w:r>
            <w:hyperlink r:id="rId7" w:tooltip="March 2014" w:history="1">
              <w:r w:rsidRPr="006D7AD0">
                <w:rPr>
                  <w:rStyle w:val="Hyperlink"/>
                  <w:rFonts w:ascii="Arial" w:hAnsi="Arial" w:cs="Arial"/>
                  <w:color w:val="auto"/>
                  <w:sz w:val="14"/>
                  <w:u w:val="none"/>
                </w:rPr>
                <w:t>Mar 2014</w:t>
              </w:r>
            </w:hyperlink>
          </w:p>
        </w:tc>
        <w:tc>
          <w:tcPr>
            <w:tcW w:w="3570" w:type="pct"/>
            <w:gridSpan w:val="5"/>
          </w:tcPr>
          <w:p w:rsidR="00FF6F63" w:rsidRPr="006D7AD0" w:rsidRDefault="00FF6F63" w:rsidP="005902A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7AD0">
              <w:rPr>
                <w:rFonts w:ascii="Arial" w:hAnsi="Arial" w:cs="Arial"/>
                <w:b/>
                <w:sz w:val="28"/>
              </w:rPr>
              <w:t>~ April 2014 ~</w:t>
            </w:r>
          </w:p>
        </w:tc>
        <w:tc>
          <w:tcPr>
            <w:tcW w:w="716" w:type="pct"/>
          </w:tcPr>
          <w:p w:rsidR="00FF6F63" w:rsidRPr="006D7AD0" w:rsidRDefault="005176A5" w:rsidP="005902AC">
            <w:pPr>
              <w:jc w:val="right"/>
              <w:rPr>
                <w:rFonts w:ascii="Arial" w:hAnsi="Arial" w:cs="Arial"/>
                <w:sz w:val="14"/>
              </w:rPr>
            </w:pPr>
            <w:hyperlink r:id="rId8" w:tooltip="May 2014" w:history="1">
              <w:r w:rsidR="00FF6F63" w:rsidRPr="006D7AD0">
                <w:rPr>
                  <w:rStyle w:val="Hyperlink"/>
                  <w:rFonts w:ascii="Arial" w:hAnsi="Arial" w:cs="Arial"/>
                  <w:color w:val="auto"/>
                  <w:sz w:val="14"/>
                  <w:u w:val="none"/>
                </w:rPr>
                <w:t>May 2014</w:t>
              </w:r>
            </w:hyperlink>
            <w:r w:rsidR="00FF6F63" w:rsidRPr="006D7AD0">
              <w:rPr>
                <w:rFonts w:ascii="Arial" w:hAnsi="Arial" w:cs="Arial"/>
                <w:sz w:val="14"/>
              </w:rPr>
              <w:t xml:space="preserve"> ►</w:t>
            </w:r>
          </w:p>
        </w:tc>
      </w:tr>
      <w:tr w:rsidR="00FF6F63" w:rsidRPr="006D7AD0" w:rsidTr="005902AC"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Sun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Tue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Thu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Fri</w:t>
            </w:r>
          </w:p>
        </w:tc>
        <w:tc>
          <w:tcPr>
            <w:tcW w:w="716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Sat</w:t>
            </w: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rFonts w:ascii="Arial Narrow" w:hAnsi="Arial Narrow"/>
                <w:b w:val="0"/>
                <w:bCs w:val="0"/>
                <w:color w:val="auto"/>
                <w:sz w:val="18"/>
                <w:szCs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1b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1a to holding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  <w:sz w:val="18"/>
                <w:szCs w:val="18"/>
              </w:rPr>
            </w:pPr>
            <w:r>
              <w:rPr>
                <w:rStyle w:val="WinCalendarBLANKCELLSTYLE0"/>
                <w:color w:val="auto"/>
                <w:sz w:val="18"/>
                <w:szCs w:val="18"/>
              </w:rPr>
              <w:t>Clear group 2b</w:t>
            </w: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1a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Set group 3a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1b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2a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1a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Sort group 1b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Transfer group 3a (group 3b)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2b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1b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2a to holding</w:t>
            </w:r>
          </w:p>
          <w:p w:rsidR="00FF6F63" w:rsidRPr="0046478F" w:rsidRDefault="00FF6F63" w:rsidP="005902AC">
            <w:pPr>
              <w:pStyle w:val="CalendarText"/>
              <w:rPr>
                <w:rStyle w:val="WinCalendarBLANKCELLSTYLE0"/>
                <w:rFonts w:ascii="Arial" w:hAnsi="Arial"/>
                <w:b/>
                <w:bCs/>
                <w:color w:val="auto"/>
                <w:sz w:val="24"/>
                <w:szCs w:val="20"/>
              </w:rPr>
            </w:pPr>
            <w:r>
              <w:rPr>
                <w:rStyle w:val="WinCalendarHolidayRed"/>
                <w:color w:val="auto"/>
              </w:rPr>
              <w:t>Clear group 3b</w:t>
            </w: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2a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Set group 4a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2b to holding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3a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2a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Sort group 2b</w:t>
            </w:r>
          </w:p>
          <w:p w:rsidR="00FF6F63" w:rsidRPr="0046478F" w:rsidRDefault="00FF6F63" w:rsidP="005902AC">
            <w:pPr>
              <w:pStyle w:val="CalendarText"/>
              <w:rPr>
                <w:rStyle w:val="StyleStyleCalendarNumbers10ptNotBold11pt"/>
                <w:rFonts w:ascii="Arial Narrow" w:hAnsi="Arial Narrow"/>
                <w:b w:val="0"/>
                <w:bCs w:val="0"/>
                <w:color w:val="auto"/>
                <w:sz w:val="18"/>
                <w:szCs w:val="24"/>
              </w:rPr>
            </w:pPr>
            <w:r>
              <w:rPr>
                <w:rStyle w:val="WinCalendarHolidayRed"/>
                <w:color w:val="auto"/>
              </w:rPr>
              <w:t>Transfer group 4a (group 4b)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3b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2b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3a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Clear group 4b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3a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Set group 5a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3b to holding</w:t>
            </w:r>
          </w:p>
          <w:p w:rsidR="00FF6F63" w:rsidRPr="0046478F" w:rsidRDefault="00FF6F63" w:rsidP="005902AC">
            <w:pPr>
              <w:pStyle w:val="CalendarText"/>
              <w:rPr>
                <w:rStyle w:val="WinCalendarBLANKCELLSTYLE0"/>
                <w:rFonts w:ascii="Arial" w:hAnsi="Arial"/>
                <w:b/>
                <w:bCs/>
                <w:color w:val="auto"/>
                <w:sz w:val="24"/>
                <w:szCs w:val="20"/>
              </w:rPr>
            </w:pP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4a</w:t>
            </w: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3a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Sort group 3b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Transfer group 5a (group 5b)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4b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3b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4a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Clear group 5b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4a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Set group 6a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4b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5a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4a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Sort group 4b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Transfer group 6a (group 5b)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5b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2144" w:type="pct"/>
            <w:gridSpan w:val="3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  <w:r w:rsidRPr="006D7AD0">
              <w:rPr>
                <w:rStyle w:val="CalendarNumbers"/>
                <w:bCs w:val="0"/>
                <w:color w:val="auto"/>
              </w:rPr>
              <w:t>Notes:</w:t>
            </w:r>
          </w:p>
        </w:tc>
      </w:tr>
    </w:tbl>
    <w:p w:rsidR="00FF6F63" w:rsidRPr="006D7AD0" w:rsidRDefault="00FF6F63" w:rsidP="00FF6F63">
      <w:pPr>
        <w:spacing w:after="0"/>
      </w:pPr>
    </w:p>
    <w:p w:rsidR="00FF6F63" w:rsidRPr="006D7AD0" w:rsidRDefault="00FF6F63" w:rsidP="00FF6F63">
      <w:r w:rsidRPr="006D7AD0">
        <w:br w:type="page"/>
      </w:r>
    </w:p>
    <w:p w:rsidR="00FF6F63" w:rsidRPr="006D7AD0" w:rsidRDefault="00FF6F63" w:rsidP="00FF6F63">
      <w:pPr>
        <w:spacing w:after="0"/>
      </w:pPr>
    </w:p>
    <w:tbl>
      <w:tblPr>
        <w:tblStyle w:val="GridTableLight"/>
        <w:tblW w:w="5000" w:type="pct"/>
        <w:tblLayout w:type="fixed"/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1882"/>
        <w:gridCol w:w="1882"/>
        <w:gridCol w:w="1882"/>
        <w:gridCol w:w="1887"/>
      </w:tblGrid>
      <w:tr w:rsidR="00FF6F63" w:rsidRPr="006D7AD0" w:rsidTr="005902AC">
        <w:tc>
          <w:tcPr>
            <w:tcW w:w="714" w:type="pct"/>
          </w:tcPr>
          <w:p w:rsidR="00FF6F63" w:rsidRPr="006D7AD0" w:rsidRDefault="00FF6F63" w:rsidP="005902AC">
            <w:pPr>
              <w:rPr>
                <w:rFonts w:ascii="Arial" w:hAnsi="Arial" w:cs="Arial"/>
                <w:sz w:val="14"/>
              </w:rPr>
            </w:pPr>
            <w:r w:rsidRPr="006D7AD0">
              <w:rPr>
                <w:rFonts w:ascii="Arial" w:hAnsi="Arial" w:cs="Arial"/>
                <w:sz w:val="14"/>
              </w:rPr>
              <w:t xml:space="preserve">◄ </w:t>
            </w:r>
            <w:hyperlink r:id="rId9" w:tooltip="April 2014" w:history="1">
              <w:r w:rsidRPr="006D7AD0">
                <w:rPr>
                  <w:rStyle w:val="Hyperlink"/>
                  <w:rFonts w:ascii="Arial" w:hAnsi="Arial" w:cs="Arial"/>
                  <w:color w:val="auto"/>
                  <w:sz w:val="14"/>
                  <w:u w:val="none"/>
                </w:rPr>
                <w:t>Apr 2014</w:t>
              </w:r>
            </w:hyperlink>
          </w:p>
        </w:tc>
        <w:tc>
          <w:tcPr>
            <w:tcW w:w="3570" w:type="pct"/>
            <w:gridSpan w:val="5"/>
          </w:tcPr>
          <w:p w:rsidR="00FF6F63" w:rsidRPr="006D7AD0" w:rsidRDefault="00FF6F63" w:rsidP="005902A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7AD0">
              <w:rPr>
                <w:rFonts w:ascii="Arial" w:hAnsi="Arial" w:cs="Arial"/>
                <w:b/>
                <w:sz w:val="28"/>
              </w:rPr>
              <w:t>~ May 2014 ~</w:t>
            </w:r>
          </w:p>
        </w:tc>
        <w:tc>
          <w:tcPr>
            <w:tcW w:w="716" w:type="pct"/>
          </w:tcPr>
          <w:p w:rsidR="00FF6F63" w:rsidRPr="006D7AD0" w:rsidRDefault="005176A5" w:rsidP="005902AC">
            <w:pPr>
              <w:jc w:val="right"/>
              <w:rPr>
                <w:rFonts w:ascii="Arial" w:hAnsi="Arial" w:cs="Arial"/>
                <w:sz w:val="14"/>
              </w:rPr>
            </w:pPr>
            <w:hyperlink r:id="rId10" w:tooltip="June 2014" w:history="1">
              <w:r w:rsidR="00FF6F63" w:rsidRPr="006D7AD0">
                <w:rPr>
                  <w:rStyle w:val="Hyperlink"/>
                  <w:rFonts w:ascii="Arial" w:hAnsi="Arial" w:cs="Arial"/>
                  <w:color w:val="auto"/>
                  <w:sz w:val="14"/>
                  <w:u w:val="none"/>
                </w:rPr>
                <w:t>Jun 2014</w:t>
              </w:r>
            </w:hyperlink>
            <w:r w:rsidR="00FF6F63" w:rsidRPr="006D7AD0">
              <w:rPr>
                <w:rFonts w:ascii="Arial" w:hAnsi="Arial" w:cs="Arial"/>
                <w:sz w:val="14"/>
              </w:rPr>
              <w:t xml:space="preserve"> ►</w:t>
            </w:r>
          </w:p>
        </w:tc>
      </w:tr>
      <w:tr w:rsidR="00FF6F63" w:rsidRPr="006D7AD0" w:rsidTr="005902AC"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Sun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Tue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Thu</w:t>
            </w:r>
          </w:p>
        </w:tc>
        <w:tc>
          <w:tcPr>
            <w:tcW w:w="714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Fri</w:t>
            </w:r>
          </w:p>
        </w:tc>
        <w:tc>
          <w:tcPr>
            <w:tcW w:w="716" w:type="pct"/>
          </w:tcPr>
          <w:p w:rsidR="00FF6F63" w:rsidRPr="006D7AD0" w:rsidRDefault="00FF6F63" w:rsidP="005902AC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6D7AD0">
              <w:rPr>
                <w:rFonts w:ascii="Arial" w:hAnsi="Arial" w:cs="Arial"/>
                <w:b/>
              </w:rPr>
              <w:t>Sat</w:t>
            </w: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spacing w:after="40"/>
              <w:rPr>
                <w:rStyle w:val="CalendarNumbers"/>
                <w:bCs w:val="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4b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5a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Clear group 6b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5a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Set group 7a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5b to holding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6a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StyleStyleCalendarNumbers10ptNotBold11pt"/>
                <w:rFonts w:ascii="Arial Narrow" w:hAnsi="Arial Narrow"/>
                <w:b w:val="0"/>
                <w:color w:val="auto"/>
                <w:sz w:val="18"/>
                <w:szCs w:val="18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5</w:t>
            </w:r>
            <w:r>
              <w:rPr>
                <w:rStyle w:val="StyleStyleCalendarNumbers10ptNotBold11pt"/>
                <w:color w:val="auto"/>
                <w:sz w:val="24"/>
              </w:rPr>
              <w:t xml:space="preserve"> </w:t>
            </w:r>
            <w:r>
              <w:rPr>
                <w:rStyle w:val="StyleStyleCalendarNumbers10ptNotBold11pt"/>
                <w:rFonts w:ascii="Arial Narrow" w:hAnsi="Arial Narrow"/>
                <w:b w:val="0"/>
                <w:color w:val="auto"/>
                <w:sz w:val="18"/>
                <w:szCs w:val="18"/>
              </w:rPr>
              <w:t>Group 5a</w:t>
            </w:r>
            <w:r w:rsidRPr="00287058">
              <w:rPr>
                <w:rStyle w:val="StyleStyleCalendarNumbers10ptNotBold11pt"/>
                <w:rFonts w:ascii="Arial Narrow" w:hAnsi="Arial Narrow"/>
                <w:b w:val="0"/>
                <w:color w:val="auto"/>
                <w:sz w:val="18"/>
                <w:szCs w:val="18"/>
              </w:rPr>
              <w:t xml:space="preserve"> ready for experiments</w:t>
            </w:r>
          </w:p>
          <w:p w:rsidR="00FF6F63" w:rsidRDefault="00FF6F63" w:rsidP="005902AC">
            <w:pPr>
              <w:pStyle w:val="CalendarText"/>
              <w:rPr>
                <w:rStyle w:val="StyleStyleCalendarNumbers10ptNotBold11pt"/>
                <w:rFonts w:ascii="Arial Narrow" w:hAnsi="Arial Narrow"/>
                <w:b w:val="0"/>
                <w:color w:val="auto"/>
                <w:sz w:val="18"/>
                <w:szCs w:val="18"/>
              </w:rPr>
            </w:pPr>
            <w:r>
              <w:rPr>
                <w:rStyle w:val="StyleStyleCalendarNumbers10ptNotBold11pt"/>
                <w:rFonts w:ascii="Arial Narrow" w:hAnsi="Arial Narrow"/>
                <w:b w:val="0"/>
                <w:color w:val="auto"/>
                <w:sz w:val="18"/>
                <w:szCs w:val="18"/>
              </w:rPr>
              <w:t>Sort group 5b</w:t>
            </w:r>
          </w:p>
          <w:p w:rsidR="00FF6F63" w:rsidRPr="00287058" w:rsidRDefault="00FF6F63" w:rsidP="005902AC">
            <w:pPr>
              <w:pStyle w:val="CalendarText"/>
              <w:rPr>
                <w:rStyle w:val="StyleStyleCalendarNumbers10ptNotBold11pt"/>
                <w:b w:val="0"/>
                <w:color w:val="auto"/>
                <w:sz w:val="18"/>
                <w:szCs w:val="18"/>
              </w:rPr>
            </w:pPr>
            <w:r>
              <w:rPr>
                <w:rStyle w:val="StyleStyleCalendarNumbers10ptNotBold11pt"/>
                <w:rFonts w:ascii="Arial Narrow" w:hAnsi="Arial Narrow"/>
                <w:b w:val="0"/>
                <w:color w:val="auto"/>
                <w:sz w:val="18"/>
                <w:szCs w:val="18"/>
              </w:rPr>
              <w:t>Transfer group 7a (group 7b)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6b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5b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6a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Clear group 7b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6a</w:t>
            </w:r>
          </w:p>
          <w:p w:rsidR="00FF6F63" w:rsidRPr="00287058" w:rsidRDefault="00FF6F63" w:rsidP="005902AC">
            <w:pPr>
              <w:pStyle w:val="CalendarText"/>
              <w:rPr>
                <w:rStyle w:val="WinCalendarBLANKCELLSTYLE0"/>
                <w:rFonts w:ascii="Arial" w:hAnsi="Arial"/>
                <w:b/>
                <w:bCs/>
                <w:color w:val="auto"/>
                <w:sz w:val="24"/>
                <w:szCs w:val="20"/>
              </w:rPr>
            </w:pPr>
            <w:r>
              <w:rPr>
                <w:rStyle w:val="WinCalendarHolidayRed"/>
                <w:color w:val="auto"/>
              </w:rPr>
              <w:t>Set group 8a</w:t>
            </w: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6b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7a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6a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Sort group 6b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8a (group 8b)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7b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6b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7a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Clear group 8b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7a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7b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8a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19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7a ready for experiments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Sort group 7b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21</w:t>
            </w:r>
            <w:r>
              <w:rPr>
                <w:rStyle w:val="StyleStyleCalendarNumbers10ptNotBold11pt"/>
                <w:color w:val="auto"/>
                <w:sz w:val="24"/>
              </w:rPr>
              <w:t xml:space="preserve"> 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 xml:space="preserve">Clear early </w:t>
            </w:r>
            <w:proofErr w:type="spellStart"/>
            <w:r>
              <w:rPr>
                <w:rStyle w:val="WinCalendarHolidayRed"/>
                <w:color w:val="auto"/>
              </w:rPr>
              <w:t>emergers</w:t>
            </w:r>
            <w:proofErr w:type="spellEnd"/>
            <w:r>
              <w:rPr>
                <w:rStyle w:val="WinCalendarHolidayRed"/>
                <w:color w:val="auto"/>
              </w:rPr>
              <w:t xml:space="preserve"> from group 8b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22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7b ready for experiments</w:t>
            </w:r>
          </w:p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>
              <w:rPr>
                <w:rStyle w:val="WinCalendarHolidayRed"/>
                <w:color w:val="auto"/>
              </w:rPr>
              <w:t>Transfer group 8a to holding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23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Sort group 8a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24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FF6F63" w:rsidRPr="006D7AD0" w:rsidTr="005902AC">
        <w:trPr>
          <w:trHeight w:val="1368"/>
        </w:trPr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25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Transfer group 8b to holding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Default="00FF6F63" w:rsidP="005902AC">
            <w:pPr>
              <w:pStyle w:val="CalendarText"/>
              <w:rPr>
                <w:rStyle w:val="WinCalendarHolidayRed"/>
                <w:color w:val="auto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26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8a ready for experiments</w:t>
            </w:r>
          </w:p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WinCalendarHolidayRed"/>
                <w:color w:val="auto"/>
              </w:rPr>
              <w:t>Sort group 8b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27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28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29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  <w:r>
              <w:rPr>
                <w:rStyle w:val="WinCalendarHolidayRed"/>
                <w:color w:val="auto"/>
              </w:rPr>
              <w:t>Group 8b ready for experiments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4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30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6" w:type="pct"/>
          </w:tcPr>
          <w:p w:rsidR="00FF6F63" w:rsidRPr="006D7AD0" w:rsidRDefault="00FF6F63" w:rsidP="005902AC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  <w:r w:rsidRPr="006D7AD0">
              <w:rPr>
                <w:rStyle w:val="StyleStyleCalendarNumbers10ptNotBold11pt"/>
                <w:color w:val="auto"/>
                <w:sz w:val="24"/>
              </w:rPr>
              <w:t>31</w:t>
            </w:r>
            <w:r w:rsidRPr="006D7AD0">
              <w:rPr>
                <w:rStyle w:val="WinCalendarHolidayRed"/>
                <w:color w:val="auto"/>
              </w:rPr>
              <w:t xml:space="preserve"> </w:t>
            </w:r>
          </w:p>
          <w:p w:rsidR="00FF6F63" w:rsidRPr="006D7AD0" w:rsidRDefault="00FF6F63" w:rsidP="005902AC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</w:tbl>
    <w:p w:rsidR="00FF6F63" w:rsidRPr="006D7AD0" w:rsidRDefault="00FF6F63" w:rsidP="00FF6F63">
      <w:pPr>
        <w:spacing w:after="0"/>
      </w:pPr>
    </w:p>
    <w:p w:rsidR="00FF6F63" w:rsidRPr="006D7AD0" w:rsidRDefault="00FF6F63" w:rsidP="00FF6F63">
      <w:r w:rsidRPr="006D7AD0">
        <w:br w:type="page"/>
      </w:r>
    </w:p>
    <w:p w:rsidR="001F06A4" w:rsidRDefault="001F06A4"/>
    <w:sectPr w:rsidR="001F06A4" w:rsidSect="00FF6F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63"/>
    <w:rsid w:val="000037FF"/>
    <w:rsid w:val="00004F65"/>
    <w:rsid w:val="00014F6E"/>
    <w:rsid w:val="00015641"/>
    <w:rsid w:val="00020E02"/>
    <w:rsid w:val="00027AB0"/>
    <w:rsid w:val="00035683"/>
    <w:rsid w:val="000431CE"/>
    <w:rsid w:val="00050D43"/>
    <w:rsid w:val="00053B7D"/>
    <w:rsid w:val="0006064D"/>
    <w:rsid w:val="00063389"/>
    <w:rsid w:val="000645CC"/>
    <w:rsid w:val="00071198"/>
    <w:rsid w:val="00075F58"/>
    <w:rsid w:val="0007778A"/>
    <w:rsid w:val="00080F7D"/>
    <w:rsid w:val="00081F39"/>
    <w:rsid w:val="00083AE4"/>
    <w:rsid w:val="00083C44"/>
    <w:rsid w:val="00087FC3"/>
    <w:rsid w:val="00097E9D"/>
    <w:rsid w:val="000A78E4"/>
    <w:rsid w:val="000B3DEB"/>
    <w:rsid w:val="000C68C0"/>
    <w:rsid w:val="000C74E3"/>
    <w:rsid w:val="000F5B9A"/>
    <w:rsid w:val="00103ABD"/>
    <w:rsid w:val="001056C9"/>
    <w:rsid w:val="00122216"/>
    <w:rsid w:val="001308F3"/>
    <w:rsid w:val="00135044"/>
    <w:rsid w:val="00147CCE"/>
    <w:rsid w:val="00151059"/>
    <w:rsid w:val="00170FF2"/>
    <w:rsid w:val="001818E5"/>
    <w:rsid w:val="00182AB6"/>
    <w:rsid w:val="00187A40"/>
    <w:rsid w:val="001B118C"/>
    <w:rsid w:val="001B154A"/>
    <w:rsid w:val="001B200E"/>
    <w:rsid w:val="001B6578"/>
    <w:rsid w:val="001D7A87"/>
    <w:rsid w:val="001F06A4"/>
    <w:rsid w:val="00204B43"/>
    <w:rsid w:val="00206ED3"/>
    <w:rsid w:val="00227F0B"/>
    <w:rsid w:val="002309FA"/>
    <w:rsid w:val="002362EC"/>
    <w:rsid w:val="002375F6"/>
    <w:rsid w:val="00237CC1"/>
    <w:rsid w:val="0025147B"/>
    <w:rsid w:val="002554E0"/>
    <w:rsid w:val="00262B2F"/>
    <w:rsid w:val="00266713"/>
    <w:rsid w:val="00273E8F"/>
    <w:rsid w:val="0027579E"/>
    <w:rsid w:val="00280139"/>
    <w:rsid w:val="00281697"/>
    <w:rsid w:val="00281795"/>
    <w:rsid w:val="002B777E"/>
    <w:rsid w:val="002C4D9A"/>
    <w:rsid w:val="002C7F9C"/>
    <w:rsid w:val="002E0153"/>
    <w:rsid w:val="002E6D3E"/>
    <w:rsid w:val="0030209D"/>
    <w:rsid w:val="00302757"/>
    <w:rsid w:val="00304140"/>
    <w:rsid w:val="00306AF4"/>
    <w:rsid w:val="00317727"/>
    <w:rsid w:val="003230DC"/>
    <w:rsid w:val="003230EA"/>
    <w:rsid w:val="00326AC7"/>
    <w:rsid w:val="00331697"/>
    <w:rsid w:val="00333C60"/>
    <w:rsid w:val="003340AB"/>
    <w:rsid w:val="0033413C"/>
    <w:rsid w:val="00341D39"/>
    <w:rsid w:val="0034440E"/>
    <w:rsid w:val="00346B77"/>
    <w:rsid w:val="003472E8"/>
    <w:rsid w:val="003474C3"/>
    <w:rsid w:val="00350075"/>
    <w:rsid w:val="003563BB"/>
    <w:rsid w:val="00370526"/>
    <w:rsid w:val="00373B2F"/>
    <w:rsid w:val="003914D0"/>
    <w:rsid w:val="00397BA9"/>
    <w:rsid w:val="003A0B69"/>
    <w:rsid w:val="003A2533"/>
    <w:rsid w:val="003B592A"/>
    <w:rsid w:val="003C455A"/>
    <w:rsid w:val="003D3A33"/>
    <w:rsid w:val="003E2904"/>
    <w:rsid w:val="003F0823"/>
    <w:rsid w:val="00407028"/>
    <w:rsid w:val="00446656"/>
    <w:rsid w:val="004563B0"/>
    <w:rsid w:val="00456750"/>
    <w:rsid w:val="00457865"/>
    <w:rsid w:val="004627D8"/>
    <w:rsid w:val="0047179B"/>
    <w:rsid w:val="00473FAC"/>
    <w:rsid w:val="00475C20"/>
    <w:rsid w:val="00477A3A"/>
    <w:rsid w:val="00477AB4"/>
    <w:rsid w:val="0048574A"/>
    <w:rsid w:val="004930AD"/>
    <w:rsid w:val="0049657A"/>
    <w:rsid w:val="004A2FB5"/>
    <w:rsid w:val="004A4C5A"/>
    <w:rsid w:val="004A6288"/>
    <w:rsid w:val="004C6D21"/>
    <w:rsid w:val="004C7F20"/>
    <w:rsid w:val="004D53E9"/>
    <w:rsid w:val="004D6CD8"/>
    <w:rsid w:val="004D7A1D"/>
    <w:rsid w:val="004E0D86"/>
    <w:rsid w:val="004F6B9F"/>
    <w:rsid w:val="00503249"/>
    <w:rsid w:val="005113B8"/>
    <w:rsid w:val="0051208E"/>
    <w:rsid w:val="005176A5"/>
    <w:rsid w:val="00523BF3"/>
    <w:rsid w:val="0053221C"/>
    <w:rsid w:val="00534DC8"/>
    <w:rsid w:val="0053505F"/>
    <w:rsid w:val="005358CB"/>
    <w:rsid w:val="0055766E"/>
    <w:rsid w:val="00561C59"/>
    <w:rsid w:val="00564FA3"/>
    <w:rsid w:val="00572227"/>
    <w:rsid w:val="005756AC"/>
    <w:rsid w:val="00580A9E"/>
    <w:rsid w:val="00581181"/>
    <w:rsid w:val="005903FC"/>
    <w:rsid w:val="00590984"/>
    <w:rsid w:val="0059167F"/>
    <w:rsid w:val="00596605"/>
    <w:rsid w:val="005A1564"/>
    <w:rsid w:val="005A1C72"/>
    <w:rsid w:val="005C7123"/>
    <w:rsid w:val="005C76B5"/>
    <w:rsid w:val="005D0193"/>
    <w:rsid w:val="005D61D9"/>
    <w:rsid w:val="005E004F"/>
    <w:rsid w:val="005E1808"/>
    <w:rsid w:val="005E71DB"/>
    <w:rsid w:val="005F1C98"/>
    <w:rsid w:val="005F2846"/>
    <w:rsid w:val="00601AAF"/>
    <w:rsid w:val="00610673"/>
    <w:rsid w:val="00610A19"/>
    <w:rsid w:val="00616226"/>
    <w:rsid w:val="00617FAC"/>
    <w:rsid w:val="00622E3F"/>
    <w:rsid w:val="00624E0A"/>
    <w:rsid w:val="00630BA3"/>
    <w:rsid w:val="00631675"/>
    <w:rsid w:val="0064143F"/>
    <w:rsid w:val="00645363"/>
    <w:rsid w:val="00650619"/>
    <w:rsid w:val="006617DF"/>
    <w:rsid w:val="00662B59"/>
    <w:rsid w:val="0067635E"/>
    <w:rsid w:val="00677C23"/>
    <w:rsid w:val="00686AB0"/>
    <w:rsid w:val="006906CC"/>
    <w:rsid w:val="006977B9"/>
    <w:rsid w:val="006A090F"/>
    <w:rsid w:val="006A4AE6"/>
    <w:rsid w:val="006A51D4"/>
    <w:rsid w:val="006B6C0E"/>
    <w:rsid w:val="006B78EC"/>
    <w:rsid w:val="006B7ADD"/>
    <w:rsid w:val="006C09CF"/>
    <w:rsid w:val="006C2A45"/>
    <w:rsid w:val="006C42F6"/>
    <w:rsid w:val="006C681C"/>
    <w:rsid w:val="006D43FC"/>
    <w:rsid w:val="006D4633"/>
    <w:rsid w:val="006D4A8F"/>
    <w:rsid w:val="006E56EC"/>
    <w:rsid w:val="006F1879"/>
    <w:rsid w:val="00700296"/>
    <w:rsid w:val="007075EF"/>
    <w:rsid w:val="00712AF4"/>
    <w:rsid w:val="007316A4"/>
    <w:rsid w:val="0073335B"/>
    <w:rsid w:val="00736911"/>
    <w:rsid w:val="00740EEF"/>
    <w:rsid w:val="00741964"/>
    <w:rsid w:val="0074274C"/>
    <w:rsid w:val="00750B6F"/>
    <w:rsid w:val="00757286"/>
    <w:rsid w:val="00757581"/>
    <w:rsid w:val="0075791A"/>
    <w:rsid w:val="00766A76"/>
    <w:rsid w:val="00767976"/>
    <w:rsid w:val="00770045"/>
    <w:rsid w:val="0077274A"/>
    <w:rsid w:val="007768A6"/>
    <w:rsid w:val="0078295A"/>
    <w:rsid w:val="00790EE3"/>
    <w:rsid w:val="00792B2B"/>
    <w:rsid w:val="007A149E"/>
    <w:rsid w:val="007A2D55"/>
    <w:rsid w:val="007B0124"/>
    <w:rsid w:val="00802D07"/>
    <w:rsid w:val="00804605"/>
    <w:rsid w:val="00804CC6"/>
    <w:rsid w:val="008074ED"/>
    <w:rsid w:val="008100B1"/>
    <w:rsid w:val="00820D49"/>
    <w:rsid w:val="008245B8"/>
    <w:rsid w:val="008310DC"/>
    <w:rsid w:val="008330C1"/>
    <w:rsid w:val="00833FF6"/>
    <w:rsid w:val="00834C3F"/>
    <w:rsid w:val="00834C51"/>
    <w:rsid w:val="00837908"/>
    <w:rsid w:val="00837DE0"/>
    <w:rsid w:val="00844E2B"/>
    <w:rsid w:val="008450ED"/>
    <w:rsid w:val="00846CDF"/>
    <w:rsid w:val="00847F5E"/>
    <w:rsid w:val="0086109E"/>
    <w:rsid w:val="008611BE"/>
    <w:rsid w:val="008629BA"/>
    <w:rsid w:val="0087125A"/>
    <w:rsid w:val="00873842"/>
    <w:rsid w:val="00875DDF"/>
    <w:rsid w:val="008849DC"/>
    <w:rsid w:val="008851D1"/>
    <w:rsid w:val="008939E0"/>
    <w:rsid w:val="00896BC1"/>
    <w:rsid w:val="008A53F6"/>
    <w:rsid w:val="008B1B1E"/>
    <w:rsid w:val="008B572F"/>
    <w:rsid w:val="008B5DDB"/>
    <w:rsid w:val="008C7DC7"/>
    <w:rsid w:val="008D798A"/>
    <w:rsid w:val="008E32BA"/>
    <w:rsid w:val="008E4C2F"/>
    <w:rsid w:val="008F1D8F"/>
    <w:rsid w:val="008F2F59"/>
    <w:rsid w:val="008F59E1"/>
    <w:rsid w:val="00901FC4"/>
    <w:rsid w:val="00902DC9"/>
    <w:rsid w:val="00903573"/>
    <w:rsid w:val="009052CC"/>
    <w:rsid w:val="0090718D"/>
    <w:rsid w:val="0091490E"/>
    <w:rsid w:val="00915C47"/>
    <w:rsid w:val="00915D82"/>
    <w:rsid w:val="00915DA3"/>
    <w:rsid w:val="00916B28"/>
    <w:rsid w:val="00923C61"/>
    <w:rsid w:val="00931DF1"/>
    <w:rsid w:val="00935F84"/>
    <w:rsid w:val="009378B0"/>
    <w:rsid w:val="00944853"/>
    <w:rsid w:val="00947C06"/>
    <w:rsid w:val="0095325C"/>
    <w:rsid w:val="00954C46"/>
    <w:rsid w:val="009579ED"/>
    <w:rsid w:val="0096174C"/>
    <w:rsid w:val="009669FC"/>
    <w:rsid w:val="00974685"/>
    <w:rsid w:val="0099256F"/>
    <w:rsid w:val="009A244B"/>
    <w:rsid w:val="009A35BD"/>
    <w:rsid w:val="009A4C07"/>
    <w:rsid w:val="009A685D"/>
    <w:rsid w:val="009A75AC"/>
    <w:rsid w:val="009B4385"/>
    <w:rsid w:val="009C4E0E"/>
    <w:rsid w:val="009C7551"/>
    <w:rsid w:val="009C79CA"/>
    <w:rsid w:val="009E130D"/>
    <w:rsid w:val="009F2505"/>
    <w:rsid w:val="009F4B47"/>
    <w:rsid w:val="00A01D28"/>
    <w:rsid w:val="00A0276F"/>
    <w:rsid w:val="00A0284C"/>
    <w:rsid w:val="00A02A06"/>
    <w:rsid w:val="00A053FE"/>
    <w:rsid w:val="00A1239E"/>
    <w:rsid w:val="00A20920"/>
    <w:rsid w:val="00A219E2"/>
    <w:rsid w:val="00A22063"/>
    <w:rsid w:val="00A23532"/>
    <w:rsid w:val="00A25849"/>
    <w:rsid w:val="00A259F3"/>
    <w:rsid w:val="00A277A1"/>
    <w:rsid w:val="00A30286"/>
    <w:rsid w:val="00A305CE"/>
    <w:rsid w:val="00A4134F"/>
    <w:rsid w:val="00A43885"/>
    <w:rsid w:val="00A4563B"/>
    <w:rsid w:val="00A5449D"/>
    <w:rsid w:val="00A5637D"/>
    <w:rsid w:val="00A57D47"/>
    <w:rsid w:val="00A60A01"/>
    <w:rsid w:val="00A63AC7"/>
    <w:rsid w:val="00A82D15"/>
    <w:rsid w:val="00A8536F"/>
    <w:rsid w:val="00A92FC5"/>
    <w:rsid w:val="00A94274"/>
    <w:rsid w:val="00AA0072"/>
    <w:rsid w:val="00AA3119"/>
    <w:rsid w:val="00AB3EE0"/>
    <w:rsid w:val="00AB4C69"/>
    <w:rsid w:val="00AC3026"/>
    <w:rsid w:val="00AC40BE"/>
    <w:rsid w:val="00AD5447"/>
    <w:rsid w:val="00AD7E80"/>
    <w:rsid w:val="00AE3A99"/>
    <w:rsid w:val="00AF17DF"/>
    <w:rsid w:val="00B03112"/>
    <w:rsid w:val="00B06AFD"/>
    <w:rsid w:val="00B20F75"/>
    <w:rsid w:val="00B30FFA"/>
    <w:rsid w:val="00B33466"/>
    <w:rsid w:val="00B509CD"/>
    <w:rsid w:val="00B553BC"/>
    <w:rsid w:val="00B63C69"/>
    <w:rsid w:val="00B72F21"/>
    <w:rsid w:val="00B77F9F"/>
    <w:rsid w:val="00B83155"/>
    <w:rsid w:val="00B86662"/>
    <w:rsid w:val="00B9223E"/>
    <w:rsid w:val="00B942A7"/>
    <w:rsid w:val="00BA0953"/>
    <w:rsid w:val="00BB1150"/>
    <w:rsid w:val="00BB38B9"/>
    <w:rsid w:val="00BB3B11"/>
    <w:rsid w:val="00BB554D"/>
    <w:rsid w:val="00BB7DB0"/>
    <w:rsid w:val="00BC3B20"/>
    <w:rsid w:val="00BD66F0"/>
    <w:rsid w:val="00BE04B2"/>
    <w:rsid w:val="00BE41A7"/>
    <w:rsid w:val="00C17A0C"/>
    <w:rsid w:val="00C3054A"/>
    <w:rsid w:val="00C31A11"/>
    <w:rsid w:val="00C43771"/>
    <w:rsid w:val="00C44B60"/>
    <w:rsid w:val="00C465BF"/>
    <w:rsid w:val="00C63518"/>
    <w:rsid w:val="00C74C8A"/>
    <w:rsid w:val="00C76FC7"/>
    <w:rsid w:val="00C77A1D"/>
    <w:rsid w:val="00C77F91"/>
    <w:rsid w:val="00C77F98"/>
    <w:rsid w:val="00C82DC6"/>
    <w:rsid w:val="00C83C67"/>
    <w:rsid w:val="00C8763E"/>
    <w:rsid w:val="00C944A0"/>
    <w:rsid w:val="00CA1D76"/>
    <w:rsid w:val="00CA3423"/>
    <w:rsid w:val="00CD5849"/>
    <w:rsid w:val="00CF4CF3"/>
    <w:rsid w:val="00CF62EF"/>
    <w:rsid w:val="00D04BEA"/>
    <w:rsid w:val="00D12497"/>
    <w:rsid w:val="00D13604"/>
    <w:rsid w:val="00D2351C"/>
    <w:rsid w:val="00D24762"/>
    <w:rsid w:val="00D30069"/>
    <w:rsid w:val="00D30A97"/>
    <w:rsid w:val="00D30E5B"/>
    <w:rsid w:val="00D333EC"/>
    <w:rsid w:val="00D45B52"/>
    <w:rsid w:val="00D5178F"/>
    <w:rsid w:val="00D634AF"/>
    <w:rsid w:val="00D67E88"/>
    <w:rsid w:val="00D7746C"/>
    <w:rsid w:val="00D77B0C"/>
    <w:rsid w:val="00D8399B"/>
    <w:rsid w:val="00D84AF7"/>
    <w:rsid w:val="00D85C39"/>
    <w:rsid w:val="00D92739"/>
    <w:rsid w:val="00D94BFB"/>
    <w:rsid w:val="00D9735C"/>
    <w:rsid w:val="00DA4525"/>
    <w:rsid w:val="00DA6847"/>
    <w:rsid w:val="00DB2A1A"/>
    <w:rsid w:val="00DB6041"/>
    <w:rsid w:val="00DC2BB6"/>
    <w:rsid w:val="00DC46B5"/>
    <w:rsid w:val="00DD35A7"/>
    <w:rsid w:val="00DD6235"/>
    <w:rsid w:val="00DD6406"/>
    <w:rsid w:val="00DE2D67"/>
    <w:rsid w:val="00DE377B"/>
    <w:rsid w:val="00DF6740"/>
    <w:rsid w:val="00E1750B"/>
    <w:rsid w:val="00E226E6"/>
    <w:rsid w:val="00E23785"/>
    <w:rsid w:val="00E26D07"/>
    <w:rsid w:val="00E42CEA"/>
    <w:rsid w:val="00E45179"/>
    <w:rsid w:val="00E543CC"/>
    <w:rsid w:val="00E56724"/>
    <w:rsid w:val="00E61C57"/>
    <w:rsid w:val="00E63A2C"/>
    <w:rsid w:val="00E67F16"/>
    <w:rsid w:val="00E7315E"/>
    <w:rsid w:val="00E82AD2"/>
    <w:rsid w:val="00E914C4"/>
    <w:rsid w:val="00E9199C"/>
    <w:rsid w:val="00E967BE"/>
    <w:rsid w:val="00E9733D"/>
    <w:rsid w:val="00E97C71"/>
    <w:rsid w:val="00EA4E5A"/>
    <w:rsid w:val="00EA54C6"/>
    <w:rsid w:val="00EA7428"/>
    <w:rsid w:val="00EB6A67"/>
    <w:rsid w:val="00ED1452"/>
    <w:rsid w:val="00EE02EC"/>
    <w:rsid w:val="00EE7F23"/>
    <w:rsid w:val="00EF1020"/>
    <w:rsid w:val="00EF1BAD"/>
    <w:rsid w:val="00EF543E"/>
    <w:rsid w:val="00F0378D"/>
    <w:rsid w:val="00F0655E"/>
    <w:rsid w:val="00F146FF"/>
    <w:rsid w:val="00F15D92"/>
    <w:rsid w:val="00F177DE"/>
    <w:rsid w:val="00F21059"/>
    <w:rsid w:val="00F23DFF"/>
    <w:rsid w:val="00F27FF1"/>
    <w:rsid w:val="00F3126C"/>
    <w:rsid w:val="00F332FA"/>
    <w:rsid w:val="00F337D6"/>
    <w:rsid w:val="00F33AF1"/>
    <w:rsid w:val="00F452B7"/>
    <w:rsid w:val="00F465ED"/>
    <w:rsid w:val="00F54167"/>
    <w:rsid w:val="00F6154F"/>
    <w:rsid w:val="00F62D30"/>
    <w:rsid w:val="00F65EC5"/>
    <w:rsid w:val="00F7092F"/>
    <w:rsid w:val="00F9258D"/>
    <w:rsid w:val="00F97E2C"/>
    <w:rsid w:val="00FA1066"/>
    <w:rsid w:val="00FA1E2D"/>
    <w:rsid w:val="00FA3EFB"/>
    <w:rsid w:val="00FA7377"/>
    <w:rsid w:val="00FE6888"/>
    <w:rsid w:val="00FF623A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F6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FF6F63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FF6F63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FF6F63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FF6F63"/>
    <w:rPr>
      <w:rFonts w:ascii="Arial Narrow" w:hAnsi="Arial Narrow"/>
      <w:b w:val="0"/>
      <w:color w:val="990033"/>
      <w:sz w:val="18"/>
    </w:rPr>
  </w:style>
  <w:style w:type="character" w:customStyle="1" w:styleId="WinCalendarBLANKCELLSTYLE0">
    <w:name w:val="WinCalendar_BLANKCELL_STYLE0"/>
    <w:basedOn w:val="DefaultParagraphFont"/>
    <w:rsid w:val="00FF6F63"/>
    <w:rPr>
      <w:rFonts w:ascii="Arial Narrow" w:hAnsi="Arial Narrow"/>
      <w:b w:val="0"/>
      <w:color w:val="000000"/>
      <w:sz w:val="15"/>
    </w:rPr>
  </w:style>
  <w:style w:type="character" w:styleId="Hyperlink">
    <w:name w:val="Hyperlink"/>
    <w:rsid w:val="00FF6F63"/>
    <w:rPr>
      <w:color w:val="0000FF"/>
      <w:u w:val="single"/>
    </w:rPr>
  </w:style>
  <w:style w:type="table" w:customStyle="1" w:styleId="GridTableLight">
    <w:name w:val="Grid Table Light"/>
    <w:basedOn w:val="TableNormal"/>
    <w:uiPriority w:val="40"/>
    <w:rsid w:val="00FF6F6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F6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FF6F63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FF6F63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FF6F63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FF6F63"/>
    <w:rPr>
      <w:rFonts w:ascii="Arial Narrow" w:hAnsi="Arial Narrow"/>
      <w:b w:val="0"/>
      <w:color w:val="990033"/>
      <w:sz w:val="18"/>
    </w:rPr>
  </w:style>
  <w:style w:type="character" w:customStyle="1" w:styleId="WinCalendarBLANKCELLSTYLE0">
    <w:name w:val="WinCalendar_BLANKCELL_STYLE0"/>
    <w:basedOn w:val="DefaultParagraphFont"/>
    <w:rsid w:val="00FF6F63"/>
    <w:rPr>
      <w:rFonts w:ascii="Arial Narrow" w:hAnsi="Arial Narrow"/>
      <w:b w:val="0"/>
      <w:color w:val="000000"/>
      <w:sz w:val="15"/>
    </w:rPr>
  </w:style>
  <w:style w:type="character" w:styleId="Hyperlink">
    <w:name w:val="Hyperlink"/>
    <w:rsid w:val="00FF6F63"/>
    <w:rPr>
      <w:color w:val="0000FF"/>
      <w:u w:val="single"/>
    </w:rPr>
  </w:style>
  <w:style w:type="table" w:customStyle="1" w:styleId="GridTableLight">
    <w:name w:val="Grid Table Light"/>
    <w:basedOn w:val="TableNormal"/>
    <w:uiPriority w:val="40"/>
    <w:rsid w:val="00FF6F6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May-Calendar/May-2014-Calend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ncalendar.com/March-Calendar/March-2014-Calendar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incalendar.com/April-Calendar/April-2014-Calenda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incalendar.com/February-Calendar/February-2014-Calendar.html" TargetMode="External"/><Relationship Id="rId10" Type="http://schemas.openxmlformats.org/officeDocument/2006/relationships/hyperlink" Target="http://www.wincalendar.com/June-Calendar/June-2014-Calend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ncalendar.com/April-Calendar/April-2014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Teets</dc:creator>
  <cp:lastModifiedBy>IFAS Entomology &amp; Nematology</cp:lastModifiedBy>
  <cp:revision>2</cp:revision>
  <dcterms:created xsi:type="dcterms:W3CDTF">2015-06-01T19:45:00Z</dcterms:created>
  <dcterms:modified xsi:type="dcterms:W3CDTF">2015-06-01T19:45:00Z</dcterms:modified>
</cp:coreProperties>
</file>