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Hahn lab protocols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prettydoc::html_pretty:</w:t>
      </w:r>
      <w:r>
        <w:t xml:space="preserve"> </w:t>
      </w:r>
      <w:r>
        <w:t xml:space="preserve">theme: architect</w:t>
      </w:r>
      <w:r>
        <w:t xml:space="preserve"> </w:t>
      </w:r>
      <w:r>
        <w:t xml:space="preserve">toc: yes</w:t>
      </w:r>
      <w:r>
        <w:t xml:space="preserve"> </w:t>
      </w:r>
      <w:r>
        <w:t xml:space="preserve">pdf_document:</w:t>
      </w:r>
      <w:r>
        <w:t xml:space="preserve"> </w:t>
      </w:r>
      <w:r>
        <w:t xml:space="preserve">number_sections: yes</w:t>
      </w:r>
      <w:r>
        <w:t xml:space="preserve"> </w:t>
      </w:r>
      <w:r>
        <w:t xml:space="preserve">toc: yes</w:t>
      </w:r>
      <w:r>
        <w:t xml:space="preserve"> </w:t>
      </w:r>
      <w:r>
        <w:t xml:space="preserve">fontsize: 18pt</w:t>
      </w:r>
      <w:r>
        <w:t xml:space="preserve"> </w:t>
      </w:r>
      <w:r>
        <w:t xml:space="preserve">=======</w:t>
      </w:r>
    </w:p>
    <w:p>
      <w:pPr>
        <w:pStyle w:val="BodyText"/>
      </w:pPr>
      <w:r>
        <w:t xml:space="preserve">List of protocols: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Ecdysteroid Extraction</w:t>
        </w:r>
      </w:hyperlink>
    </w:p>
    <w:p>
      <w:pPr>
        <w:pStyle w:val="FirstParagraph"/>
      </w:pPr>
      <w:r>
        <w:t xml:space="preserve">Dan hahn is cool.</w:t>
      </w:r>
    </w:p>
    <w:p>
      <w:pPr>
        <w:pStyle w:val="BodyText"/>
      </w:pPr>
      <w:r>
        <w:t xml:space="preserve">Welcome to the Hahn lab protocols page. Here is a master list of lab procedures we use for gene and protein expression. Please visit</w:t>
      </w:r>
      <w:r>
        <w:t xml:space="preserve"> </w:t>
      </w:r>
      <w:hyperlink r:id="rId22">
        <w:r>
          <w:rPr>
            <w:rStyle w:val="Hyperlink"/>
          </w:rPr>
          <w:t xml:space="preserve">our lab page</w:t>
        </w:r>
      </w:hyperlink>
      <w:r>
        <w:t xml:space="preserve"> </w:t>
      </w:r>
      <w:r>
        <w:t xml:space="preserve">to find out more about our work. Click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the github repository for this website.</w:t>
      </w:r>
    </w:p>
    <w:p>
      <w:pPr>
        <w:pStyle w:val="BodyText"/>
      </w:pPr>
      <w:r>
        <w:t xml:space="preserve">updated: 2017-12-22</w:t>
      </w:r>
    </w:p>
    <w:p>
      <w:pPr>
        <w:pStyle w:val="Heading1"/>
      </w:pPr>
      <w:bookmarkStart w:id="24" w:name="gene-expression-workflow"/>
      <w:bookmarkEnd w:id="24"/>
      <w:r>
        <w:t xml:space="preserve">Gene expression workflow</w:t>
      </w:r>
    </w:p>
    <w:p>
      <w:pPr>
        <w:pStyle w:val="Heading2"/>
      </w:pPr>
      <w:bookmarkStart w:id="25" w:name="rna-isolation"/>
      <w:bookmarkEnd w:id="25"/>
      <w:r>
        <w:t xml:space="preserve">RNA isolation</w:t>
      </w:r>
    </w:p>
    <w:p>
      <w:pPr>
        <w:pStyle w:val="Heading3"/>
      </w:pPr>
      <w:bookmarkStart w:id="26" w:name="reagents"/>
      <w:bookmarkEnd w:id="26"/>
      <w:r>
        <w:t xml:space="preserve">Reagents: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TRI Reagent</w:t>
        </w:r>
      </w:hyperlink>
      <w:r>
        <w:t xml:space="preserve"> </w:t>
      </w:r>
      <w:r>
        <w:t xml:space="preserve">(cat# 15596026)</w:t>
      </w:r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BCP(1-bromo-3-chloropropane)</w:t>
        </w:r>
      </w:hyperlink>
      <w:r>
        <w:t xml:space="preserve">(cat# NC9551474)</w:t>
      </w:r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THE RNA storage solution</w:t>
        </w:r>
      </w:hyperlink>
      <w:r>
        <w:t xml:space="preserve"> </w:t>
      </w:r>
      <w:r>
        <w:t xml:space="preserve">(cat# AM7001)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DNA-free™ DNA Removal Kit</w:t>
        </w:r>
      </w:hyperlink>
      <w:r>
        <w:t xml:space="preserve"> </w:t>
      </w:r>
      <w:r>
        <w:t xml:space="preserve">(cat# AM1906)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Qubit™ dsDNA BR Assay Kit</w:t>
        </w:r>
      </w:hyperlink>
      <w:r>
        <w:t xml:space="preserve"> </w:t>
      </w:r>
      <w:r>
        <w:t xml:space="preserve">(cat# Q32850)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Qubit™ RNA IQ Assay Kit</w:t>
        </w:r>
      </w:hyperlink>
      <w:r>
        <w:t xml:space="preserve"> </w:t>
      </w:r>
      <w:r>
        <w:t xml:space="preserve">(cat# Q33221)</w:t>
      </w:r>
    </w:p>
    <w:p>
      <w:pPr>
        <w:pStyle w:val="Heading3"/>
      </w:pPr>
      <w:bookmarkStart w:id="33" w:name="protocol"/>
      <w:bookmarkEnd w:id="33"/>
      <w:r>
        <w:t xml:space="preserve">Protocol:</w:t>
      </w:r>
    </w:p>
    <w:p>
      <w:pPr>
        <w:pStyle w:val="FirstParagraph"/>
      </w:pPr>
      <w:hyperlink r:id="rId34">
        <w:r>
          <w:rPr>
            <w:rStyle w:val="Hyperlink"/>
          </w:rPr>
          <w:t xml:space="preserve">RNA isolation protocol (originated from Applied Biosystems and adpted to our lab condition)</w:t>
        </w:r>
      </w:hyperlink>
    </w:p>
    <w:p>
      <w:pPr>
        <w:pStyle w:val="BodyText"/>
      </w:pPr>
      <w:r>
        <w:rPr>
          <w:b/>
        </w:rPr>
        <w:t xml:space="preserve">Homogenize</w:t>
      </w:r>
    </w:p>
    <w:p>
      <w:pPr>
        <w:numPr>
          <w:numId w:val="1003"/>
          <w:ilvl w:val="0"/>
        </w:numPr>
      </w:pPr>
      <w:r>
        <w:t xml:space="preserve">Homogenize in 1ml TRI Reagent and 5 beads by the Bead Mill Homogenizer (Precellys® Evolution), use the soft tissue program which will homogenize 15s, break for 30s and then homogenize for an additional 15s.</w:t>
      </w:r>
    </w:p>
    <w:p>
      <w:pPr>
        <w:numPr>
          <w:numId w:val="1003"/>
          <w:ilvl w:val="0"/>
        </w:numPr>
      </w:pPr>
      <w:r>
        <w:t xml:space="preserve">Icubate the homogenates for 5 min at room temperature.</w:t>
      </w:r>
    </w:p>
    <w:p>
      <w:pPr>
        <w:pStyle w:val="FirstParagraph"/>
      </w:pPr>
      <w:r>
        <w:t xml:space="preserve">RNA extraction</w:t>
      </w:r>
      <w:r>
        <w:t xml:space="preserve"> </w:t>
      </w:r>
      <w:r>
        <w:t xml:space="preserve">3. Add 100 μL BCP per 1 mL of TRI Reagent solution,mix well, and incubate at room temp for 5–15 min.</w:t>
      </w:r>
      <w:r>
        <w:t xml:space="preserve"> </w:t>
      </w:r>
      <w:r>
        <w:t xml:space="preserve">4. Centrifuge at 12,000 x g for 10–15 min at 4°C, then transfer the aqueous phase to a fresh tube.</w:t>
      </w:r>
    </w:p>
    <w:p>
      <w:pPr>
        <w:pStyle w:val="BodyText"/>
      </w:pPr>
      <w:r>
        <w:t xml:space="preserve">RNA Precipitation and Wash</w:t>
      </w:r>
      <w:r>
        <w:t xml:space="preserve"> </w:t>
      </w:r>
      <w:r>
        <w:t xml:space="preserve">5. Add 500 μL of isopropanol per 1 mL of</w:t>
      </w:r>
      <w:r>
        <w:t xml:space="preserve"> </w:t>
      </w:r>
      <w:r>
        <w:t xml:space="preserve">TRI Reagent solution, vortex for 5–10 sec, and</w:t>
      </w:r>
      <w:r>
        <w:t xml:space="preserve"> </w:t>
      </w:r>
      <w:r>
        <w:t xml:space="preserve">incubate at room temp for 5–10 min.</w:t>
      </w:r>
      <w:r>
        <w:t xml:space="preserve"> </w:t>
      </w:r>
      <w:r>
        <w:t xml:space="preserve">6. Centrifuge at 12,000 x g for 8 min at 4–25°C, and</w:t>
      </w:r>
      <w:r>
        <w:t xml:space="preserve"> </w:t>
      </w:r>
      <w:r>
        <w:t xml:space="preserve">discard the supernatant.</w:t>
      </w:r>
      <w:r>
        <w:t xml:space="preserve"> </w:t>
      </w:r>
      <w:r>
        <w:t xml:space="preserve">7. Add 1 mL of 75% ethanol per 1 mL of</w:t>
      </w:r>
    </w:p>
    <w:p>
      <w:pPr>
        <w:pStyle w:val="BodyText"/>
      </w:pPr>
      <w:r>
        <w:t xml:space="preserve">TRI Reagent solution.</w:t>
      </w:r>
      <w:r>
        <w:t xml:space="preserve"> </w:t>
      </w:r>
      <w:r>
        <w:t xml:space="preserve">8. Centrifuge at 7,500 x g for 5 min, remove the ethanol,</w:t>
      </w:r>
      <w:r>
        <w:t xml:space="preserve"> </w:t>
      </w:r>
      <w:r>
        <w:t xml:space="preserve">and vacum dry the RNA pellet for 5 min.</w:t>
      </w:r>
    </w:p>
    <w:p>
      <w:pPr>
        <w:pStyle w:val="BodyText"/>
      </w:pPr>
      <w:r>
        <w:t xml:space="preserve">RNA Solubilization</w:t>
      </w:r>
      <w:r>
        <w:t xml:space="preserve"> </w:t>
      </w:r>
      <w:r>
        <w:t xml:space="preserve">9. Dissolve RNA in the THE RNA storage soluStep 2: Remove contaminating DNA from RNA</w:t>
      </w:r>
    </w:p>
    <w:p>
      <w:pPr>
        <w:pStyle w:val="Heading2"/>
      </w:pPr>
      <w:bookmarkStart w:id="35" w:name="remove-contaminating-dna-from-rna"/>
      <w:bookmarkEnd w:id="35"/>
      <w:r>
        <w:t xml:space="preserve">Remove contaminating DNA from RNA:</w:t>
      </w:r>
    </w:p>
    <w:p>
      <w:pPr>
        <w:pStyle w:val="Heading3"/>
      </w:pPr>
      <w:bookmarkStart w:id="36" w:name="reagents-1"/>
      <w:bookmarkEnd w:id="36"/>
      <w:r>
        <w:t xml:space="preserve">Reagents:</w:t>
      </w:r>
    </w:p>
    <w:p>
      <w:pPr>
        <w:pStyle w:val="FirstParagraph"/>
      </w:pPr>
      <w:hyperlink r:id="rId30">
        <w:r>
          <w:rPr>
            <w:rStyle w:val="Hyperlink"/>
            <w:i/>
          </w:rPr>
          <w:t xml:space="preserve">Dnase1 Treatment with DNA-free kit</w:t>
        </w:r>
      </w:hyperlink>
      <w:r>
        <w:br w:type="textWrapping"/>
      </w:r>
      <w:hyperlink r:id="rId37">
        <w:r>
          <w:rPr>
            <w:rStyle w:val="Hyperlink"/>
          </w:rPr>
          <w:t xml:space="preserve">HyClone™ Water, Molecular Biology Grade</w:t>
        </w:r>
      </w:hyperlink>
      <w:r>
        <w:br w:type="textWrapping"/>
      </w:r>
      <w:r>
        <w:t xml:space="preserve">0.5ml centrifuge tubes</w:t>
      </w:r>
    </w:p>
    <w:p>
      <w:pPr>
        <w:pStyle w:val="Heading3"/>
      </w:pPr>
      <w:bookmarkStart w:id="38" w:name="protocol-1"/>
      <w:bookmarkEnd w:id="38"/>
      <w:r>
        <w:t xml:space="preserve">Protocol:</w:t>
      </w:r>
    </w:p>
    <w:p>
      <w:pPr>
        <w:pStyle w:val="FirstParagraph"/>
      </w:pPr>
      <w:r>
        <w:t xml:space="preserve">This protocol is for a 50ul reaction volume with up to 10ug RNA.</w:t>
      </w:r>
    </w:p>
    <w:p>
      <w:pPr>
        <w:pStyle w:val="Compact"/>
        <w:numPr>
          <w:numId w:val="1004"/>
          <w:ilvl w:val="0"/>
        </w:numPr>
      </w:pPr>
      <w:r>
        <w:t xml:space="preserve">Prepare the master mix as follows (prepare 5 tubes extra)</w:t>
      </w:r>
      <w:r>
        <w:t xml:space="preserve"> </w:t>
      </w:r>
      <w:r>
        <w:t xml:space="preserve">Dnase1 10× buffer = 5.0ul (0.1× reaction volume) × (number of tubes+5)</w:t>
      </w:r>
      <w:r>
        <w:t xml:space="preserve"> </w:t>
      </w:r>
      <w:r>
        <w:t xml:space="preserve">Dnase1 = 1.0ul × (number of tubes+5)</w:t>
      </w:r>
      <w:r>
        <w:t xml:space="preserve"> </w:t>
      </w:r>
      <w:r>
        <w:t xml:space="preserve">Molecular grade water = 4ul × (number of tubes+5)</w:t>
      </w:r>
    </w:p>
    <w:p>
      <w:pPr>
        <w:numPr>
          <w:numId w:val="1004"/>
          <w:ilvl w:val="0"/>
        </w:numPr>
      </w:pPr>
      <w:r>
        <w:t xml:space="preserve">Pipette out 10ug RNA samples to new 0.5ml tubes (volume depends on the concentration of RNA samples), then add molecular grade water (volume=40ul-volume of RNA) to make the final volume to 40ul.</w:t>
      </w:r>
    </w:p>
    <w:p>
      <w:pPr>
        <w:numPr>
          <w:numId w:val="1004"/>
          <w:ilvl w:val="0"/>
        </w:numPr>
      </w:pPr>
      <w:r>
        <w:t xml:space="preserve">Add 10ul master kit to each of the above reaction tube (now the total volume is 50ul)</w:t>
      </w:r>
    </w:p>
    <w:p>
      <w:pPr>
        <w:numPr>
          <w:numId w:val="1004"/>
          <w:ilvl w:val="0"/>
        </w:numPr>
      </w:pPr>
      <w:r>
        <w:t xml:space="preserve">Incubate at 37˚C for 30min.</w:t>
      </w:r>
    </w:p>
    <w:p>
      <w:pPr>
        <w:numPr>
          <w:numId w:val="1004"/>
          <w:ilvl w:val="0"/>
        </w:numPr>
      </w:pPr>
      <w:r>
        <w:t xml:space="preserve">Add 5ul (0.1× reaction volume) suspended DNase Inactivation Reagent and mix well.</w:t>
      </w:r>
    </w:p>
    <w:p>
      <w:pPr>
        <w:numPr>
          <w:numId w:val="1004"/>
          <w:ilvl w:val="0"/>
        </w:numPr>
      </w:pPr>
      <w:r>
        <w:t xml:space="preserve">Incubate 2 min at room temperature. Mix every 30s to 60s (This step is very important in order to redisperse the DNase inactivation reagent.)</w:t>
      </w:r>
    </w:p>
    <w:p>
      <w:pPr>
        <w:numPr>
          <w:numId w:val="1004"/>
          <w:ilvl w:val="0"/>
        </w:numPr>
      </w:pPr>
      <w:r>
        <w:t xml:space="preserve">Centrifuge at 10,000 × g for 1.5 min and transfer the RNA to a fresh tube.</w:t>
      </w:r>
      <w:r>
        <w:t xml:space="preserve"> </w:t>
      </w:r>
      <w:r>
        <w:t xml:space="preserve">Note: This centrifugation step pellets the DNase Inactivation Reagent. After centrifuging, carefully transfer the supernatant, which contains the RNA, into a fresh tube. Avoid introducing the DNase Inactivation Reagent into solutions that may be used for downstream enzymatic reactions, because it can sequester divalent cations and change the buffer conditions.</w:t>
      </w:r>
      <w:r>
        <w:t xml:space="preserve"> </w:t>
      </w:r>
      <w:r>
        <w:t xml:space="preserve">ion.</w:t>
      </w:r>
    </w:p>
    <w:p>
      <w:pPr>
        <w:pStyle w:val="Heading2"/>
      </w:pPr>
      <w:bookmarkStart w:id="39" w:name="dsdna-contamination-and-rna-quality-control"/>
      <w:bookmarkEnd w:id="39"/>
      <w:r>
        <w:t xml:space="preserve">dsDNA contamination and RNA quality control</w:t>
      </w:r>
    </w:p>
    <w:p>
      <w:pPr>
        <w:pStyle w:val="FirstParagraph"/>
      </w:pPr>
      <w:r>
        <w:t xml:space="preserve">Reagents:</w:t>
      </w:r>
    </w:p>
    <w:p>
      <w:pPr>
        <w:pStyle w:val="BodyText"/>
      </w:pPr>
      <w:r>
        <w:rPr>
          <w:i/>
        </w:rPr>
        <w:t xml:space="preserve">Agarose</w:t>
      </w:r>
      <w:r>
        <w:br w:type="textWrapping"/>
      </w:r>
      <w:r>
        <w:t xml:space="preserve">10× TAE Buffer</w:t>
      </w:r>
      <w:r>
        <w:br w:type="textWrapping"/>
      </w:r>
      <w:r>
        <w:rPr>
          <w:i/>
        </w:rPr>
        <w:t xml:space="preserve">Commercial Bleach, 6% Sodium Hypochlorite</w:t>
      </w:r>
      <w:r>
        <w:br w:type="textWrapping"/>
      </w:r>
      <w:r>
        <w:t xml:space="preserve">Ethidium Bromide (10 mg/ml)</w:t>
      </w:r>
      <w:r>
        <w:br w:type="textWrapping"/>
      </w:r>
      <w:r>
        <w:t xml:space="preserve">*10× DNA Loading Buffer (1.9 mM xylene cyanol, 1.5 mM bromophenol blue, 25% glycerol in sterile dH20)</w:t>
      </w:r>
    </w:p>
    <w:p>
      <w:pPr>
        <w:pStyle w:val="Heading2"/>
      </w:pPr>
      <w:bookmarkStart w:id="40" w:name="protocol-2"/>
      <w:bookmarkEnd w:id="40"/>
      <w:r>
        <w:t xml:space="preserve">Protocol</w:t>
      </w:r>
    </w:p>
    <w:p>
      <w:pPr>
        <w:pStyle w:val="Heading2"/>
      </w:pPr>
      <w:bookmarkStart w:id="41" w:name="prepare-the-gel"/>
      <w:bookmarkEnd w:id="41"/>
      <w:r>
        <w:t xml:space="preserve">Prepare the gel</w:t>
      </w:r>
    </w:p>
    <w:p>
      <w:pPr>
        <w:pStyle w:val="Compact"/>
        <w:numPr>
          <w:numId w:val="1005"/>
          <w:ilvl w:val="0"/>
        </w:numPr>
      </w:pPr>
      <w:r>
        <w:t xml:space="preserve">Add 1.0% w/v agarose to 1× TAE buffer. e.g. 0.5 g in 50 mL.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Add 1.0% v/v Clorox® bleach, e.g. 500 μL in 50 mL, and incubate at room temperature for 5 minutes, with occasional swirling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Heat the suspension to melt the agarose (10 sec intervals with swirling) until all the agarose dissolves).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Allow solution to cool to about 50C (i.e. you can touch it for a couple seconds without discomfort)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Adding ethidium bromide to a final concentration of 0.5 μg/mL. e.g. 25ug in 50ml. Swirl thoroughly.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Pour solution into gel mold and allow the</w:t>
      </w:r>
      <w:r>
        <w:t xml:space="preserve"> </w:t>
      </w:r>
      <w:r>
        <w:t xml:space="preserve">‘</w:t>
      </w:r>
      <w:r>
        <w:t xml:space="preserve">bleach gel</w:t>
      </w:r>
      <w:r>
        <w:t xml:space="preserve">’</w:t>
      </w:r>
      <w:r>
        <w:t xml:space="preserve"> </w:t>
      </w:r>
      <w:r>
        <w:t xml:space="preserve">to solidify (about 30min in room temperature)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Position the gel into the gel electrophoresis tank. Avoid bubbles.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Add enough 1× TAE buffer to cover the gel to a depth of about 5mm.</w:t>
      </w:r>
      <w:r>
        <w:br w:type="textWrapping"/>
      </w:r>
      <w:r>
        <w:t xml:space="preserve">## Load and Run RNA Samples</w:t>
      </w:r>
    </w:p>
    <w:p>
      <w:pPr>
        <w:pStyle w:val="Compact"/>
        <w:numPr>
          <w:numId w:val="1005"/>
          <w:ilvl w:val="0"/>
        </w:numPr>
      </w:pPr>
      <w:r>
        <w:t xml:space="preserve">Mix the samples of RNA with DNA loading buffer</w:t>
      </w:r>
      <w:r>
        <w:br w:type="textWrapping"/>
      </w:r>
      <w:r>
        <w:t xml:space="preserve">1ug RNA+1ul_10× DNA loading buffer + molecular grade water to make final volume of 10ul.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Load the mixtures and RNA ladder slowly into the slots. Avoid making bubbles!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Attach the electrical leads so that RNA can move toward the anode.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Apply a voltage of 100 V for approximately 35 minutes and then visualizing by UV trans illumination</w:t>
      </w:r>
      <w:r>
        <w:br w:type="textWrapping"/>
      </w:r>
      <w:r>
        <w:t xml:space="preserve">## Visualizing by UV trans-illumination</w:t>
      </w:r>
    </w:p>
    <w:p>
      <w:pPr>
        <w:pStyle w:val="Compact"/>
        <w:numPr>
          <w:numId w:val="1005"/>
          <w:ilvl w:val="0"/>
        </w:numPr>
      </w:pPr>
      <w:r>
        <w:t xml:space="preserve">sdd</w:t>
      </w:r>
    </w:p>
    <w:p>
      <w:pPr>
        <w:pStyle w:val="Heading2"/>
      </w:pPr>
      <w:bookmarkStart w:id="42" w:name="rna-quantification-and-quality-control"/>
      <w:bookmarkEnd w:id="42"/>
      <w:r>
        <w:t xml:space="preserve">RNA quantification and quality control</w:t>
      </w:r>
    </w:p>
    <w:p>
      <w:pPr>
        <w:pStyle w:val="FirstParagraph"/>
      </w:pPr>
      <w:r>
        <w:t xml:space="preserve">RNA concertration</w:t>
      </w:r>
      <w:r>
        <w:t xml:space="preserve"> </w:t>
      </w:r>
      <w:r>
        <w:t xml:space="preserve">1. the concentration of an RNA solution is determined by NanoDrop.</w:t>
      </w:r>
    </w:p>
    <w:p>
      <w:pPr>
        <w:pStyle w:val="BodyText"/>
      </w:pPr>
      <w:r>
        <w:t xml:space="preserve">Dnase1 Treatment with DNA-free kit(</w:t>
      </w:r>
      <w:hyperlink r:id="rId30">
        <w:r>
          <w:rPr>
            <w:rStyle w:val="Hyperlink"/>
          </w:rPr>
          <w:t xml:space="preserve">https://www.thermofisher.com/order/catalog/product/AM1906</w:t>
        </w:r>
      </w:hyperlink>
      <w:r>
        <w:t xml:space="preserve">)</w:t>
      </w:r>
    </w:p>
    <w:p>
      <w:pPr>
        <w:pStyle w:val="BodyText"/>
      </w:pPr>
      <w:r>
        <w:t xml:space="preserve">dsDNA contamination and RNA quality check</w:t>
      </w:r>
    </w:p>
    <w:p>
      <w:pPr>
        <w:pStyle w:val="Heading2"/>
      </w:pPr>
      <w:bookmarkStart w:id="43" w:name="cdna-synthesis-reverse-transcription"/>
      <w:bookmarkEnd w:id="43"/>
      <w:r>
        <w:t xml:space="preserve">cDNA synthesis: reverse transcription</w:t>
      </w:r>
    </w:p>
    <w:p>
      <w:pPr>
        <w:pStyle w:val="Heading2"/>
      </w:pPr>
      <w:bookmarkStart w:id="44" w:name="quantitative-real-time-pcr"/>
      <w:bookmarkEnd w:id="44"/>
      <w:r>
        <w:t xml:space="preserve">Quantitative Real Time PCR</w:t>
      </w:r>
    </w:p>
    <w:p>
      <w:pPr>
        <w:pStyle w:val="Heading2"/>
      </w:pPr>
      <w:bookmarkStart w:id="45" w:name="data-processing-and-handling"/>
      <w:bookmarkEnd w:id="45"/>
      <w:r>
        <w:t xml:space="preserve">Data processing and handling</w:t>
      </w:r>
    </w:p>
    <w:p>
      <w:pPr>
        <w:pStyle w:val="Heading1"/>
      </w:pPr>
      <w:bookmarkStart w:id="46" w:name="protein-expression-workflow"/>
      <w:bookmarkEnd w:id="46"/>
      <w:r>
        <w:t xml:space="preserve">Protein expression workflow</w:t>
      </w:r>
    </w:p>
    <w:p>
      <w:pPr>
        <w:pStyle w:val="Heading2"/>
      </w:pPr>
      <w:bookmarkStart w:id="47" w:name="protein-isolation"/>
      <w:bookmarkEnd w:id="47"/>
      <w:r>
        <w:t xml:space="preserve">Protein Isolation</w:t>
      </w:r>
    </w:p>
    <w:p>
      <w:pPr>
        <w:pStyle w:val="Heading3"/>
      </w:pPr>
      <w:bookmarkStart w:id="48" w:name="reagents-2"/>
      <w:bookmarkEnd w:id="48"/>
      <w:r>
        <w:t xml:space="preserve">Reagents</w:t>
      </w:r>
    </w:p>
    <w:p>
      <w:pPr>
        <w:pStyle w:val="Heading3"/>
      </w:pPr>
      <w:bookmarkStart w:id="49" w:name="protocol-3"/>
      <w:bookmarkEnd w:id="49"/>
      <w:r>
        <w:t xml:space="preserve">Protocol</w:t>
      </w:r>
    </w:p>
    <w:p>
      <w:pPr>
        <w:pStyle w:val="Heading2"/>
      </w:pPr>
      <w:bookmarkStart w:id="50" w:name="quantifying-protein-and-quality-control"/>
      <w:bookmarkEnd w:id="50"/>
      <w:r>
        <w:t xml:space="preserve">Quantifying protein and quality control</w:t>
      </w:r>
    </w:p>
    <w:p>
      <w:pPr>
        <w:pStyle w:val="Heading2"/>
      </w:pPr>
      <w:bookmarkStart w:id="51" w:name="polyacrylamide-gel-electrophoresis"/>
      <w:bookmarkEnd w:id="51"/>
      <w:r>
        <w:t xml:space="preserve">Polyacrylamide Gel Electrophoresis</w:t>
      </w:r>
    </w:p>
    <w:p>
      <w:pPr>
        <w:pStyle w:val="Heading2"/>
      </w:pPr>
      <w:bookmarkStart w:id="52" w:name="western-blotting"/>
      <w:bookmarkEnd w:id="52"/>
      <w:r>
        <w:t xml:space="preserve">Western Blotting</w:t>
      </w:r>
    </w:p>
    <w:p>
      <w:pPr>
        <w:pStyle w:val="Heading2"/>
      </w:pPr>
      <w:bookmarkStart w:id="53" w:name="data-processing-and-handling-1"/>
      <w:bookmarkEnd w:id="53"/>
      <w:r>
        <w:t xml:space="preserve">Data processing and handling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8596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348f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67b23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2018-01-08_ecdysteroid_extraction.html" TargetMode="External" /><Relationship Type="http://schemas.openxmlformats.org/officeDocument/2006/relationships/hyperlink" Id="rId22" Target="http://entomology.ifas.ufl.edu/hahn/lab/" TargetMode="External" /><Relationship Type="http://schemas.openxmlformats.org/officeDocument/2006/relationships/hyperlink" Id="rId34" Target="https://assets.thermofisher.com/TFS-Assets/LSG/manuals/9738M_D.pdf" TargetMode="External" /><Relationship Type="http://schemas.openxmlformats.org/officeDocument/2006/relationships/hyperlink" Id="rId23" Target="https://github.com/adnguyen/Hahn_lab_protocols" TargetMode="External" /><Relationship Type="http://schemas.openxmlformats.org/officeDocument/2006/relationships/hyperlink" Id="rId28" Target="https://www.fishersci.com/shop/products/bcp-47/nc9551474#?keyword=BCP" TargetMode="External" /><Relationship Type="http://schemas.openxmlformats.org/officeDocument/2006/relationships/hyperlink" Id="rId37" Target="https://www.fishersci.com/shop/products/hyclone-water-molecular-biology-grade-6/p-7058038#?keyword=molecular+grade+water" TargetMode="External" /><Relationship Type="http://schemas.openxmlformats.org/officeDocument/2006/relationships/hyperlink" Id="rId27" Target="https://www.thermofisher.com/order/catalog/product/15596026" TargetMode="External" /><Relationship Type="http://schemas.openxmlformats.org/officeDocument/2006/relationships/hyperlink" Id="rId30" Target="https://www.thermofisher.com/order/catalog/product/AM1906" TargetMode="External" /><Relationship Type="http://schemas.openxmlformats.org/officeDocument/2006/relationships/hyperlink" Id="rId29" Target="https://www.thermofisher.com/order/catalog/product/AM7001" TargetMode="External" /><Relationship Type="http://schemas.openxmlformats.org/officeDocument/2006/relationships/hyperlink" Id="rId31" Target="https://www.thermofisher.com/order/catalog/product/Q32850" TargetMode="External" /><Relationship Type="http://schemas.openxmlformats.org/officeDocument/2006/relationships/hyperlink" Id="rId32" Target="https://www.thermofisher.com/order/catalog/product/Q33221?SID=srch-srp-Q332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2018-01-08_ecdysteroid_extraction.html" TargetMode="External" /><Relationship Type="http://schemas.openxmlformats.org/officeDocument/2006/relationships/hyperlink" Id="rId22" Target="http://entomology.ifas.ufl.edu/hahn/lab/" TargetMode="External" /><Relationship Type="http://schemas.openxmlformats.org/officeDocument/2006/relationships/hyperlink" Id="rId34" Target="https://assets.thermofisher.com/TFS-Assets/LSG/manuals/9738M_D.pdf" TargetMode="External" /><Relationship Type="http://schemas.openxmlformats.org/officeDocument/2006/relationships/hyperlink" Id="rId23" Target="https://github.com/adnguyen/Hahn_lab_protocols" TargetMode="External" /><Relationship Type="http://schemas.openxmlformats.org/officeDocument/2006/relationships/hyperlink" Id="rId28" Target="https://www.fishersci.com/shop/products/bcp-47/nc9551474#?keyword=BCP" TargetMode="External" /><Relationship Type="http://schemas.openxmlformats.org/officeDocument/2006/relationships/hyperlink" Id="rId37" Target="https://www.fishersci.com/shop/products/hyclone-water-molecular-biology-grade-6/p-7058038#?keyword=molecular+grade+water" TargetMode="External" /><Relationship Type="http://schemas.openxmlformats.org/officeDocument/2006/relationships/hyperlink" Id="rId27" Target="https://www.thermofisher.com/order/catalog/product/15596026" TargetMode="External" /><Relationship Type="http://schemas.openxmlformats.org/officeDocument/2006/relationships/hyperlink" Id="rId30" Target="https://www.thermofisher.com/order/catalog/product/AM1906" TargetMode="External" /><Relationship Type="http://schemas.openxmlformats.org/officeDocument/2006/relationships/hyperlink" Id="rId29" Target="https://www.thermofisher.com/order/catalog/product/AM7001" TargetMode="External" /><Relationship Type="http://schemas.openxmlformats.org/officeDocument/2006/relationships/hyperlink" Id="rId31" Target="https://www.thermofisher.com/order/catalog/product/Q32850" TargetMode="External" /><Relationship Type="http://schemas.openxmlformats.org/officeDocument/2006/relationships/hyperlink" Id="rId32" Target="https://www.thermofisher.com/order/catalog/product/Q33221?SID=srch-srp-Q332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2018-01-09T01:48:06Z</dcterms:created>
  <dcterms:modified xsi:type="dcterms:W3CDTF">2018-01-09T01:48:06Z</dcterms:modified>
</cp:coreProperties>
</file>