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Governance-Aware Extraction of Structured Autism Observations: Annotation Reliability, Unsupported Inference, and Multi-Model Selection</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43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Reranking selected better than chance but did not improve on always using the strongest generator.</w:t>
      </w:r>
    </w:p>
    <w:p>
      <w:r>
        <w:rPr>
          <w:i w:val="0"/>
        </w:rPr>
        <w:t>Conclusions. Low inter-annotator agreement in this task was largely definitional rather than a matter of annotator inconsistency, and was measurably repaired by a written codebook under a controlled design. The generators evaluated are not adequate for the extraction task, and the failure is not attributable to model size: the largest model tested was the least safe. Candidate selection cannot compensate for candidate quality.</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 The contribution is the evaluation process and what it exposes, not a system that performs well: it exposes failure at the annotation layer and at the extraction layer, and reports both.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A. Corpus composition: behavioural segments per child, by source corpus.</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B.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C. Joint yield under a require-all policy. A 60-segment pilot projected 519 segments would be consumed to reach 330; the realised run consumed 506.</w:t>
      </w:r>
    </w:p>
    <w:p>
      <w:r>
        <w:rPr>
          <w:i w:val="0"/>
        </w:rPr>
        <w:t>The batch is frozen at this point and is not regenerated. Generators are replayed from it wherever they are needed downstream, so MARS selects from exactly the candidates the annotators saw.</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color w:val="C1666B"/>
        </w:rPr>
        <w:t>[PENDING] The held-out set is frozen; annotation and generator runs over it are not complete, and no result from it is reported here.</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D. MARS control flow: models propose and rank, deterministic code decides, and each abstention carries a typed reason code.</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1.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2.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data was collected from human participants for this work, no participants were recruited or contacted, and no clinical care was delivered, influenced or withheld on the basis of any system output. The system was not deployed in any care setting and no interventionist used it during the work reported here.</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0.751</w:t>
            </w:r>
          </w:p>
        </w:tc>
        <w:tc>
          <w:tcPr>
            <w:tcW w:type="dxa" w:w="1728"/>
          </w:tcPr>
          <w:p>
            <w:r>
              <w:rPr>
                <w:sz w:val="18"/>
              </w:rPr>
              <w:t>[0.697, 0.803]</w:t>
            </w:r>
          </w:p>
        </w:tc>
        <w:tc>
          <w:tcPr>
            <w:tcW w:type="dxa" w:w="1728"/>
          </w:tcPr>
          <w:p>
            <w:r>
              <w:rPr>
                <w:sz w:val="18"/>
              </w:rPr>
              <w:t>0.921</w:t>
            </w:r>
          </w:p>
        </w:tc>
        <w:tc>
          <w:tcPr>
            <w:tcW w:type="dxa" w:w="1728"/>
          </w:tcPr>
          <w:p>
            <w:r>
              <w:rPr>
                <w:sz w:val="18"/>
              </w:rPr>
              <w:t>0.816</w:t>
            </w:r>
          </w:p>
        </w:tc>
      </w:tr>
      <w:tr>
        <w:tc>
          <w:tcPr>
            <w:tcW w:type="dxa" w:w="1728"/>
          </w:tcPr>
          <w:p>
            <w:r>
              <w:rPr>
                <w:sz w:val="18"/>
              </w:rPr>
              <w:t>modality</w:t>
            </w:r>
          </w:p>
        </w:tc>
        <w:tc>
          <w:tcPr>
            <w:tcW w:type="dxa" w:w="1728"/>
          </w:tcPr>
          <w:p>
            <w:r>
              <w:rPr>
                <w:sz w:val="18"/>
              </w:rPr>
              <w:t>0.570</w:t>
            </w:r>
          </w:p>
        </w:tc>
        <w:tc>
          <w:tcPr>
            <w:tcW w:type="dxa" w:w="1728"/>
          </w:tcPr>
          <w:p>
            <w:r>
              <w:rPr>
                <w:sz w:val="18"/>
              </w:rPr>
              <w:t>[0.517, 0.624]</w:t>
            </w:r>
          </w:p>
        </w:tc>
        <w:tc>
          <w:tcPr>
            <w:tcW w:type="dxa" w:w="1728"/>
          </w:tcPr>
          <w:p>
            <w:r>
              <w:rPr>
                <w:sz w:val="18"/>
              </w:rPr>
              <w:t>0.622</w:t>
            </w:r>
          </w:p>
        </w:tc>
        <w:tc>
          <w:tcPr>
            <w:tcW w:type="dxa" w:w="1728"/>
          </w:tcPr>
          <w:p>
            <w:r>
              <w:rPr>
                <w:sz w:val="18"/>
              </w:rPr>
              <w:t>0.916</w:t>
            </w:r>
          </w:p>
        </w:tc>
      </w:tr>
      <w:tr>
        <w:tc>
          <w:tcPr>
            <w:tcW w:type="dxa" w:w="1728"/>
          </w:tcPr>
          <w:p>
            <w:r>
              <w:rPr>
                <w:sz w:val="18"/>
              </w:rPr>
              <w:t>prompt_level</w:t>
            </w:r>
          </w:p>
        </w:tc>
        <w:tc>
          <w:tcPr>
            <w:tcW w:type="dxa" w:w="1728"/>
          </w:tcPr>
          <w:p>
            <w:r>
              <w:rPr>
                <w:sz w:val="18"/>
              </w:rPr>
              <w:t>0.595</w:t>
            </w:r>
          </w:p>
        </w:tc>
        <w:tc>
          <w:tcPr>
            <w:tcW w:type="dxa" w:w="1728"/>
          </w:tcPr>
          <w:p>
            <w:r>
              <w:rPr>
                <w:sz w:val="18"/>
              </w:rPr>
              <w:t>[0.516, 0.667]</w:t>
            </w:r>
          </w:p>
        </w:tc>
        <w:tc>
          <w:tcPr>
            <w:tcW w:type="dxa" w:w="1728"/>
          </w:tcPr>
          <w:p>
            <w:r>
              <w:rPr>
                <w:sz w:val="18"/>
              </w:rPr>
              <w:t>0.839</w:t>
            </w:r>
          </w:p>
        </w:tc>
        <w:tc>
          <w:tcPr>
            <w:tcW w:type="dxa" w:w="1728"/>
          </w:tcPr>
          <w:p>
            <w:r>
              <w:rPr>
                <w:sz w:val="18"/>
              </w:rPr>
              <w:t>0.709</w:t>
            </w:r>
          </w:p>
        </w:tc>
      </w:tr>
      <w:tr>
        <w:tc>
          <w:tcPr>
            <w:tcW w:type="dxa" w:w="1728"/>
          </w:tcPr>
          <w:p>
            <w:r>
              <w:rPr>
                <w:sz w:val="18"/>
              </w:rPr>
              <w:t>outcome</w:t>
            </w:r>
          </w:p>
        </w:tc>
        <w:tc>
          <w:tcPr>
            <w:tcW w:type="dxa" w:w="1728"/>
          </w:tcPr>
          <w:p>
            <w:r>
              <w:rPr>
                <w:sz w:val="18"/>
              </w:rPr>
              <w:t>0.524</w:t>
            </w:r>
          </w:p>
        </w:tc>
        <w:tc>
          <w:tcPr>
            <w:tcW w:type="dxa" w:w="1728"/>
          </w:tcPr>
          <w:p>
            <w:r>
              <w:rPr>
                <w:sz w:val="18"/>
              </w:rPr>
              <w:t>[0.458, 0.589]</w:t>
            </w:r>
          </w:p>
        </w:tc>
        <w:tc>
          <w:tcPr>
            <w:tcW w:type="dxa" w:w="1728"/>
          </w:tcPr>
          <w:p>
            <w:r>
              <w:rPr>
                <w:sz w:val="18"/>
              </w:rPr>
              <w:t>0.758</w:t>
            </w:r>
          </w:p>
        </w:tc>
        <w:tc>
          <w:tcPr>
            <w:tcW w:type="dxa" w:w="1728"/>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3.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4.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5. Round-1 conflicts by cause. 254 of 355 fall on one of three stated definitional boundaries.</w:t>
      </w:r>
    </w:p>
    <w:p>
      <w:r>
        <w:rPr>
          <w:b/>
          <w:sz w:val="19"/>
        </w:rPr>
        <w:t>Table 2. Change in kappa over the re-issued segments, treated fields against the untreated control.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Arm</w:t>
            </w:r>
          </w:p>
        </w:tc>
        <w:tc>
          <w:tcPr>
            <w:tcW w:type="dxa" w:w="1440"/>
          </w:tcPr>
          <w:p>
            <w:r>
              <w:rPr>
                <w:b/>
                <w:sz w:val="18"/>
              </w:rPr>
              <w:t>Round 1</w:t>
            </w:r>
          </w:p>
        </w:tc>
        <w:tc>
          <w:tcPr>
            <w:tcW w:type="dxa" w:w="1440"/>
          </w:tcPr>
          <w:p>
            <w:r>
              <w:rPr>
                <w:b/>
                <w:sz w:val="18"/>
              </w:rPr>
              <w:t>Round 2</w:t>
            </w:r>
          </w:p>
        </w:tc>
        <w:tc>
          <w:tcPr>
            <w:tcW w:type="dxa" w:w="1440"/>
          </w:tcPr>
          <w:p>
            <w:r>
              <w:rPr>
                <w:b/>
                <w:sz w:val="18"/>
              </w:rPr>
              <w:t>Change</w:t>
            </w:r>
          </w:p>
        </w:tc>
        <w:tc>
          <w:tcPr>
            <w:tcW w:type="dxa" w:w="1440"/>
          </w:tcPr>
          <w:p>
            <w:r>
              <w:rPr>
                <w:b/>
                <w:sz w:val="18"/>
              </w:rPr>
              <w:t>95% CI (paired)</w:t>
            </w:r>
          </w:p>
        </w:tc>
      </w:tr>
      <w:tr>
        <w:tc>
          <w:tcPr>
            <w:tcW w:type="dxa" w:w="1440"/>
          </w:tcPr>
          <w:p>
            <w:r>
              <w:rPr>
                <w:sz w:val="18"/>
              </w:rPr>
              <w:t>domain</w:t>
            </w:r>
          </w:p>
        </w:tc>
        <w:tc>
          <w:tcPr>
            <w:tcW w:type="dxa" w:w="1440"/>
          </w:tcPr>
          <w:p>
            <w:r>
              <w:rPr>
                <w:sz w:val="18"/>
              </w:rPr>
              <w:t>control</w:t>
            </w:r>
          </w:p>
        </w:tc>
        <w:tc>
          <w:tcPr>
            <w:tcW w:type="dxa" w:w="1440"/>
          </w:tcPr>
          <w:p>
            <w:r>
              <w:rPr>
                <w:sz w:val="18"/>
              </w:rPr>
              <w:t>0.732</w:t>
            </w:r>
          </w:p>
        </w:tc>
        <w:tc>
          <w:tcPr>
            <w:tcW w:type="dxa" w:w="1440"/>
          </w:tcPr>
          <w:p>
            <w:r>
              <w:rPr>
                <w:sz w:val="18"/>
              </w:rPr>
              <w:t>0.691</w:t>
            </w:r>
          </w:p>
        </w:tc>
        <w:tc>
          <w:tcPr>
            <w:tcW w:type="dxa" w:w="1440"/>
          </w:tcPr>
          <w:p>
            <w:r>
              <w:rPr>
                <w:sz w:val="18"/>
              </w:rPr>
              <w:t>-0.041</w:t>
            </w:r>
          </w:p>
        </w:tc>
        <w:tc>
          <w:tcPr>
            <w:tcW w:type="dxa" w:w="1440"/>
          </w:tcPr>
          <w:p>
            <w:r>
              <w:rPr>
                <w:sz w:val="18"/>
              </w:rPr>
              <w:t>[-0.141, +0.052]</w:t>
            </w:r>
          </w:p>
        </w:tc>
      </w:tr>
      <w:tr>
        <w:tc>
          <w:tcPr>
            <w:tcW w:type="dxa" w:w="1440"/>
          </w:tcPr>
          <w:p>
            <w:r>
              <w:rPr>
                <w:sz w:val="18"/>
              </w:rPr>
              <w:t>modality</w:t>
            </w:r>
          </w:p>
        </w:tc>
        <w:tc>
          <w:tcPr>
            <w:tcW w:type="dxa" w:w="1440"/>
          </w:tcPr>
          <w:p>
            <w:r>
              <w:rPr>
                <w:sz w:val="18"/>
              </w:rPr>
              <w:t>treated</w:t>
            </w:r>
          </w:p>
        </w:tc>
        <w:tc>
          <w:tcPr>
            <w:tcW w:type="dxa" w:w="1440"/>
          </w:tcPr>
          <w:p>
            <w:r>
              <w:rPr>
                <w:sz w:val="18"/>
              </w:rPr>
              <w:t>0.385</w:t>
            </w:r>
          </w:p>
        </w:tc>
        <w:tc>
          <w:tcPr>
            <w:tcW w:type="dxa" w:w="1440"/>
          </w:tcPr>
          <w:p>
            <w:r>
              <w:rPr>
                <w:sz w:val="18"/>
              </w:rPr>
              <w:t>0.866</w:t>
            </w:r>
          </w:p>
        </w:tc>
        <w:tc>
          <w:tcPr>
            <w:tcW w:type="dxa" w:w="1440"/>
          </w:tcPr>
          <w:p>
            <w:r>
              <w:rPr>
                <w:sz w:val="18"/>
              </w:rPr>
              <w:t>+0.481</w:t>
            </w:r>
          </w:p>
        </w:tc>
        <w:tc>
          <w:tcPr>
            <w:tcW w:type="dxa" w:w="1440"/>
          </w:tcPr>
          <w:p>
            <w:r>
              <w:rPr>
                <w:sz w:val="18"/>
              </w:rPr>
              <w:t>[+0.397, +0.565]  *</w:t>
            </w:r>
          </w:p>
        </w:tc>
      </w:tr>
      <w:tr>
        <w:tc>
          <w:tcPr>
            <w:tcW w:type="dxa" w:w="1440"/>
          </w:tcPr>
          <w:p>
            <w:r>
              <w:rPr>
                <w:sz w:val="18"/>
              </w:rPr>
              <w:t>prompt_level</w:t>
            </w:r>
          </w:p>
        </w:tc>
        <w:tc>
          <w:tcPr>
            <w:tcW w:type="dxa" w:w="1440"/>
          </w:tcPr>
          <w:p>
            <w:r>
              <w:rPr>
                <w:sz w:val="18"/>
              </w:rPr>
              <w:t>treated</w:t>
            </w:r>
          </w:p>
        </w:tc>
        <w:tc>
          <w:tcPr>
            <w:tcW w:type="dxa" w:w="1440"/>
          </w:tcPr>
          <w:p>
            <w:r>
              <w:rPr>
                <w:sz w:val="18"/>
              </w:rPr>
              <w:t>0.281</w:t>
            </w:r>
          </w:p>
        </w:tc>
        <w:tc>
          <w:tcPr>
            <w:tcW w:type="dxa" w:w="1440"/>
          </w:tcPr>
          <w:p>
            <w:r>
              <w:rPr>
                <w:sz w:val="18"/>
              </w:rPr>
              <w:t>0.574</w:t>
            </w:r>
          </w:p>
        </w:tc>
        <w:tc>
          <w:tcPr>
            <w:tcW w:type="dxa" w:w="1440"/>
          </w:tcPr>
          <w:p>
            <w:r>
              <w:rPr>
                <w:sz w:val="18"/>
              </w:rPr>
              <w:t>+0.293</w:t>
            </w:r>
          </w:p>
        </w:tc>
        <w:tc>
          <w:tcPr>
            <w:tcW w:type="dxa" w:w="1440"/>
          </w:tcPr>
          <w:p>
            <w:r>
              <w:rPr>
                <w:sz w:val="18"/>
              </w:rPr>
              <w:t>[+0.137, +0.447]  *</w:t>
            </w:r>
          </w:p>
        </w:tc>
      </w:tr>
      <w:tr>
        <w:tc>
          <w:tcPr>
            <w:tcW w:type="dxa" w:w="1440"/>
          </w:tcPr>
          <w:p>
            <w:r>
              <w:rPr>
                <w:sz w:val="18"/>
              </w:rPr>
              <w:t>outcome</w:t>
            </w:r>
          </w:p>
        </w:tc>
        <w:tc>
          <w:tcPr>
            <w:tcW w:type="dxa" w:w="1440"/>
          </w:tcPr>
          <w:p>
            <w:r>
              <w:rPr>
                <w:sz w:val="18"/>
              </w:rPr>
              <w:t>treated</w:t>
            </w:r>
          </w:p>
        </w:tc>
        <w:tc>
          <w:tcPr>
            <w:tcW w:type="dxa" w:w="1440"/>
          </w:tcPr>
          <w:p>
            <w:r>
              <w:rPr>
                <w:sz w:val="18"/>
              </w:rPr>
              <w:t>0.284</w:t>
            </w:r>
          </w:p>
        </w:tc>
        <w:tc>
          <w:tcPr>
            <w:tcW w:type="dxa" w:w="1440"/>
          </w:tcPr>
          <w:p>
            <w:r>
              <w:rPr>
                <w:sz w:val="18"/>
              </w:rPr>
              <w:t>0.628</w:t>
            </w:r>
          </w:p>
        </w:tc>
        <w:tc>
          <w:tcPr>
            <w:tcW w:type="dxa" w:w="1440"/>
          </w:tcPr>
          <w:p>
            <w:r>
              <w:rPr>
                <w:sz w:val="18"/>
              </w:rPr>
              <w:t>+0.344</w:t>
            </w:r>
          </w:p>
        </w:tc>
        <w:tc>
          <w:tcPr>
            <w:tcW w:type="dxa" w:w="1440"/>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78323"/>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78323"/>
                    </a:xfrm>
                    <a:prstGeom prst="rect"/>
                  </pic:spPr>
                </pic:pic>
              </a:graphicData>
            </a:graphic>
          </wp:inline>
        </w:drawing>
      </w:r>
    </w:p>
    <w:p>
      <w:pPr>
        <w:jc w:val="center"/>
      </w:pPr>
      <w:r>
        <w:rPr>
          <w:i/>
          <w:color w:val="7B8994"/>
          <w:sz w:val="18"/>
        </w:rPr>
        <w:t>Figure 6. Reliability before and after the codebook, with the paired interval on each change. The control field is shown in grey.</w:t>
      </w:r>
    </w:p>
    <w:p>
      <w:pPr>
        <w:pStyle w:val="Heading2"/>
      </w:pPr>
      <w:r>
        <w:t>Gold standard</w:t>
      </w:r>
    </w:p>
    <w:p>
      <w:r>
        <w:rPr>
          <w:i w:val="0"/>
        </w:rPr>
        <w:t>Two denominators are distinguished here because conflating them makes the counts appear contradictory. Categorical disagreements after round 2 affected 127 segments; adjudication nonetheless touched 322, because free-text behavior descriptions differ by exact match on almost every segment even when the two annotators describe the same event. Resolving behavior is usually a choice between two adequate wordings, not a substantive judgement, but a segment left undecided on any field is excluded from the gold standard, so those rows must be settled.</w:t>
      </w:r>
    </w:p>
    <w:p>
      <w:r>
        <w:rPr>
          <w:b/>
          <w:sz w:val="19"/>
        </w:rPr>
        <w:t>Table 3.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4.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372619"/>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372619"/>
                    </a:xfrm>
                    <a:prstGeom prst="rect"/>
                  </pic:spPr>
                </pic:pic>
              </a:graphicData>
            </a:graphic>
          </wp:inline>
        </w:drawing>
      </w:r>
    </w:p>
    <w:p>
      <w:pPr>
        <w:jc w:val="center"/>
      </w:pPr>
      <w:r>
        <w:rPr>
          <w:i/>
          <w:color w:val="7B8994"/>
          <w:sz w:val="18"/>
        </w:rPr>
        <w:t>Figure E.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F.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G.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H. MARS candidate-stage branch distribution: 12.7% abstain before any judge is consulted, 37.3% short-circuit, 50.0% present a genuine ranking decision.</w:t>
      </w:r>
    </w:p>
    <w:p>
      <w:pPr>
        <w:pStyle w:val="Heading2"/>
      </w:pPr>
      <w:r>
        <w:t>Extraction accuracy</w:t>
      </w:r>
    </w:p>
    <w:p>
      <w:r>
        <w:rPr>
          <w:b/>
          <w:sz w:val="19"/>
        </w:rPr>
        <w:t>Table 5.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7.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6.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39313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393131"/>
                    </a:xfrm>
                    <a:prstGeom prst="rect"/>
                  </pic:spPr>
                </pic:pic>
              </a:graphicData>
            </a:graphic>
          </wp:inline>
        </w:drawing>
      </w:r>
    </w:p>
    <w:p>
      <w:pPr>
        <w:jc w:val="center"/>
      </w:pPr>
      <w:r>
        <w:rPr>
          <w:i/>
          <w:color w:val="7B8994"/>
          <w:sz w:val="18"/>
        </w:rPr>
        <w:t>Figure 8. Values asserted where the transcript supports none.</w:t>
      </w:r>
    </w:p>
    <w:p>
      <w:r>
        <w:rPr>
          <w:b/>
          <w:sz w:val="19"/>
        </w:rPr>
        <w:t>Table 7.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9.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10.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8.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mean field accuracy is statistically indistinguishable from the best of the smaller models, and its whole-record accuracy is lower. It is, however, markedly less safe: on modality it asserts a value on 76 of the 77 segments where the gold standard records that the transcript supports none, and on outcome 111 of 115.</w:t>
      </w:r>
    </w:p>
    <w:p>
      <w:r>
        <w:rPr>
          <w:i w:val="0"/>
        </w:rPr>
        <w:t>Across the four generators, unsupported assertion tracks willingness to answer rather than capability, and the ordering is monotone: the model abstaining on 48% of fields asserts unsupported values on 31% of opportunities, and the model abstaining on 3% asserts them on 97%. The weakest generator in the roster appears safest only because it so often declines. This is the property that matters for a clinical monitoring pathway, and it is not one that model selection ordinarily optimises for.</w:t>
      </w:r>
    </w:p>
    <w:p>
      <w:pPr>
        <w:jc w:val="center"/>
      </w:pPr>
      <w:r>
        <w:drawing>
          <wp:inline xmlns:a="http://schemas.openxmlformats.org/drawingml/2006/main" xmlns:pic="http://schemas.openxmlformats.org/drawingml/2006/picture">
            <wp:extent cx="5760720" cy="1913882"/>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913882"/>
                    </a:xfrm>
                    <a:prstGeom prst="rect"/>
                  </pic:spPr>
                </pic:pic>
              </a:graphicData>
            </a:graphic>
          </wp:inline>
        </w:drawing>
      </w:r>
    </w:p>
    <w:p>
      <w:pPr>
        <w:jc w:val="center"/>
      </w:pPr>
      <w:r>
        <w:rPr>
          <w:i/>
          <w:color w:val="7B8994"/>
          <w:sz w:val="18"/>
        </w:rPr>
        <w:t>Figure 13. Left: per-field accuracy across four generators. Right: unsupported assertion against abstention rate — the ordering is monotone across the roster.</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9.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11.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10.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11.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carries real signal: MARS selects better than a random candidate on every field, significantly so on modality and prompt_level. It does not beat the simplest informed policy: against always using the strongest generator it is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12. Selection quality on the judged segments, against both baselines, with paired intervals.</w:t>
      </w:r>
    </w:p>
    <w:p>
      <w:pPr>
        <w:pStyle w:val="Heading2"/>
      </w:pPr>
      <w:r>
        <w:t>Reporting layer</w:t>
      </w:r>
    </w:p>
    <w:p>
      <w:r>
        <w:rPr>
          <w:i w:val="0"/>
        </w:rPr>
        <w:t>An instrument was built to measure whether the reporting model's prose is grounded in the evidence packet it receives: every number asserted must appear in the packet, every cited record id must exist, prohibited content must be absent, and withheld metrics must be acknowledged. It was calibrated on the deterministic fallback, whose prose is grounded by construction and which the instrument scores at 1.0 with no false positives.</w:t>
      </w:r>
    </w:p>
    <w:p>
      <w:r>
        <w:rPr>
          <w:i w:val="0"/>
          <w:color w:val="C1666B"/>
        </w:rPr>
        <w:t>No groundedness figure is reported. Across all 11 children, 11 of 11 report generations fell back to the deterministic template: no locally served model produced output conforming to the required report schema. Two returned prose instead of the specified JSON array and one returned a JSON object of the wrong shape. In the local-only configuration the reporting layer therefore never executes as an LLM, and the reports a user would see are template-generated.</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is arguably more consequential for a clinical monitoring pathway than accuracy, because an unsupported value is indistinguishable in form from a supported one once written.</w:t>
      </w:r>
    </w:p>
    <w:p>
      <w:r>
        <w:rPr>
          <w:i w:val="0"/>
        </w:rPr>
        <w:t>That failure is not a consequence of model size. A larger and more recent generator, added after annotation and scored against the same gold, matched the best smaller model on accuracy while asserting unsupported values on 97% of opportunities — the worst rate in the roster. Across all four generators the relationship between abstention and unsupported assertion is monotone, which locates the safety property in a model's willingness to decline rather than in its capability.</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Two specific claims in this manuscript require citation rather than assertion: that maximum attainable kappa under fixed marginals is an established diagnostic rather than a contribution of this work, and that the Fleiss-Cohen-Everitt large-sample variance is the standard asymptotic estimator used here as a cross-check.</w:t>
      </w:r>
    </w:p>
    <w:p>
      <w:pPr>
        <w:pStyle w:val="Heading2"/>
      </w:pPr>
      <w:r>
        <w:t>Conclusions</w:t>
      </w:r>
    </w:p>
    <w:p>
      <w:r>
        <w:rPr>
          <w:i w:val="0"/>
        </w:rPr>
        <w:t>A rigorous evaluation process applied to this pipeline exposed failure at two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The batch retained only segments where all three generators produced an admissible response, so reported accuracy, unsupported-assertion rates and the oracle ceiling all describe segments the models could attempt. A model-independent held-out set has been frozen to address this but is not yet annotated, so the generalisation is currently assumed rather than demonstrated.</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Transfer to the deployed input distribution is assumed, not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 LLM groundedness: no recorded evaluation artefact.</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Extraction accuracy on a sample not conditioned on model output: the held-out set is frozen (132 segments) but not yet annotated.</w:t>
      </w:r>
    </w:p>
    <w:p>
      <w:pPr>
        <w:pStyle w:val="ListBullet"/>
      </w:pPr>
      <w:r>
        <w:t>• Whether the codebook generalises to annotators using it from the start, rather than reaching it after a disagreement round.</w:t>
      </w:r>
    </w:p>
    <w:p>
      <w:pPr>
        <w:pStyle w:val="ListBullet"/>
      </w:pPr>
      <w:r>
        <w:t>• A frontier-scale generator: the four models evaluated are all locally served.</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2" name="Picture 22"/>
            <wp:cNvGraphicFramePr>
              <a:graphicFrameLocks noChangeAspect="1"/>
            </wp:cNvGraphicFramePr>
            <a:graphic>
              <a:graphicData uri="http://schemas.openxmlformats.org/drawingml/2006/picture">
                <pic:pic>
                  <pic:nvPicPr>
                    <pic:cNvPr id="0" name="fig4_pilot_superseded.png"/>
                    <pic:cNvPicPr/>
                  </pic:nvPicPr>
                  <pic:blipFill>
                    <a:blip r:embed="rId30"/>
                    <a:stretch>
                      <a:fillRect/>
                    </a:stretch>
                  </pic:blipFill>
                  <pic:spPr>
                    <a:xfrm>
                      <a:off x="0" y="0"/>
                      <a:ext cx="5760720" cy="2424476"/>
                    </a:xfrm>
                    <a:prstGeom prst="rect"/>
                  </pic:spPr>
                </pic:pic>
              </a:graphicData>
            </a:graphic>
          </wp:inline>
        </w:drawing>
      </w:r>
    </w:p>
    <w:p>
      <w:pPr>
        <w:jc w:val="center"/>
      </w:pPr>
      <w:r>
        <w:rPr>
          <w:i/>
          <w:color w:val="7B8994"/>
          <w:sz w:val="18"/>
        </w:rPr>
        <w:t>Figure I. Pilot field accuracy (superseded). Retained for provenance, not as a result.</w:t>
      </w:r>
    </w:p>
    <w:p>
      <w:pPr>
        <w:pStyle w:val="Heading1"/>
      </w:pPr>
      <w:r>
        <w:t>Reproducibility</w:t>
      </w:r>
    </w:p>
    <w:p>
      <w:r>
        <w:rPr>
          <w:i w:val="0"/>
        </w:rPr>
        <w:t>All results derive from 43 recorded artefacts, of which 26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