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MDPI Round-8 Review Comments</w:t>
      </w:r>
    </w:p>
    <w:p>
      <w:r>
        <w:rPr>
          <w:color w:val="52514E"/>
        </w:rPr>
        <w:t>Answers the two open comments in 'R8_review comments.docx', in their original order and wording. Branch model-finetuning, built 2026-09-27. Internal working document; not for submission.</w:t>
      </w:r>
    </w:p>
    <w:p>
      <w:r>
        <w:rPr>
          <w:color w:val="52514E"/>
        </w:rPr>
        <w:t xml:space="preserve">Every number is read from </w:t>
      </w:r>
      <w:r>
        <w:rPr>
          <w:rFonts w:ascii="Consolas" w:hAnsi="Consolas"/>
          <w:color w:val="52514E"/>
          <w:sz w:val="18"/>
        </w:rPr>
        <w:t>round8_analysis.json</w:t>
      </w:r>
      <w:r>
        <w:rPr>
          <w:color w:val="52514E"/>
        </w:rPr>
        <w:t xml:space="preserve">, computed from the deterministic CHAT pipeline, recorded sample files and git history, with </w:t>
      </w:r>
      <w:r>
        <w:rPr>
          <w:b/>
          <w:color w:val="52514E"/>
        </w:rPr>
        <w:t>no model call</w:t>
      </w:r>
      <w:r>
        <w:rPr>
          <w:color w:val="52514E"/>
        </w:rPr>
        <w:t xml:space="preserve"> and no redraw. Claims about the data are checked by assertion when this document is built.</w:t>
      </w:r>
    </w:p>
    <w:p>
      <w:pPr>
        <w:pStyle w:val="Heading1"/>
      </w:pPr>
      <w:r>
        <w:t>Summary</w:t>
      </w:r>
    </w:p>
    <w:p>
      <w:pPr>
        <w:keepNext/>
        <w:spacing w:before="120"/>
      </w:pPr>
      <w:r>
        <w:rPr>
          <w:b/>
          <w:sz w:val="19"/>
        </w:rPr>
        <w:t xml:space="preserve">Table 1. </w:t>
      </w:r>
      <w:r>
        <w:rPr>
          <w:sz w:val="19"/>
        </w:rPr>
        <w:t>Each comment and the answer in one line.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792"/>
            <w:shd w:val="clear" w:color="auto" w:fill="E8EEF6"/>
          </w:tcPr>
          <w:p>
            <w:r/>
            <w:r>
              <w:rPr>
                <w:b/>
                <w:sz w:val="18"/>
              </w:rPr>
              <w:t>ID</w:t>
            </w:r>
          </w:p>
        </w:tc>
        <w:tc>
          <w:tcPr>
            <w:tcW w:type="dxa" w:w="1440"/>
            <w:shd w:val="clear" w:color="auto" w:fill="E8EEF6"/>
          </w:tcPr>
          <w:p>
            <w:r/>
            <w:r>
              <w:rPr>
                <w:b/>
                <w:sz w:val="18"/>
              </w:rPr>
              <w:t>Severity</w:t>
            </w:r>
          </w:p>
        </w:tc>
        <w:tc>
          <w:tcPr>
            <w:tcW w:type="dxa" w:w="7416"/>
            <w:shd w:val="clear" w:color="auto" w:fill="E8EEF6"/>
          </w:tcPr>
          <w:p>
            <w:r/>
            <w:r>
              <w:rPr>
                <w:b/>
                <w:sz w:val="18"/>
              </w:rPr>
              <w:t>Answer</w:t>
            </w:r>
          </w:p>
        </w:tc>
      </w:tr>
      <w:tr>
        <w:tc>
          <w:tcPr>
            <w:tcW w:type="dxa" w:w="792"/>
          </w:tcPr>
          <w:p>
            <w:r/>
            <w:r>
              <w:rPr>
                <w:sz w:val="18"/>
              </w:rPr>
              <w:t>R8-1</w:t>
            </w:r>
          </w:p>
        </w:tc>
        <w:tc>
          <w:tcPr>
            <w:tcW w:type="dxa" w:w="1440"/>
          </w:tcPr>
          <w:p>
            <w:r/>
            <w:r>
              <w:rPr>
                <w:sz w:val="18"/>
              </w:rPr>
              <w:t>Moderate</w:t>
            </w:r>
          </w:p>
        </w:tc>
        <w:tc>
          <w:tcPr>
            <w:tcW w:type="dxa" w:w="7416"/>
          </w:tcPr>
          <w:p>
            <w:r/>
            <w:r>
              <w:rPr>
                <w:sz w:val="18"/>
              </w:rPr>
              <w:t>Early-session enrichment present: mean position 0.28 (2,442) and 0.34 (3,371) vs 0.50 available; main batch 0.27, evaluation 121 0.39. Limitation wording supplied</w:t>
            </w:r>
          </w:p>
        </w:tc>
      </w:tr>
      <w:tr>
        <w:tc>
          <w:tcPr>
            <w:tcW w:type="dxa" w:w="792"/>
          </w:tcPr>
          <w:p>
            <w:r/>
            <w:r>
              <w:rPr>
                <w:sz w:val="18"/>
              </w:rPr>
              <w:t>R8-2</w:t>
            </w:r>
          </w:p>
        </w:tc>
        <w:tc>
          <w:tcPr>
            <w:tcW w:type="dxa" w:w="1440"/>
          </w:tcPr>
          <w:p>
            <w:r/>
            <w:r>
              <w:rPr>
                <w:sz w:val="18"/>
              </w:rPr>
              <w:t>Minor / Moderate</w:t>
            </w:r>
          </w:p>
        </w:tc>
        <w:tc>
          <w:tcPr>
            <w:tcW w:type="dxa" w:w="7416"/>
          </w:tcPr>
          <w:p>
            <w:r/>
            <w:r>
              <w:rPr>
                <w:sz w:val="18"/>
              </w:rPr>
              <w:t>Criteria fixed in committed code before the 11 reports were recorded; unchanged since. Sentence and commit IDs supplied</w:t>
            </w:r>
          </w:p>
        </w:tc>
      </w:tr>
    </w:tbl>
    <w:p>
      <w:pPr>
        <w:spacing w:after="0"/>
      </w:pPr>
    </w:p>
    <w:p>
      <w:r>
        <w:br w:type="page"/>
      </w:r>
    </w:p>
    <w:p>
      <w:pPr>
        <w:pStyle w:val="Heading1"/>
      </w:pPr>
      <w:r>
        <w:t>R8-1  ·  Moderate  ·  Deterministic universe construction may create temporal/session-order sampling bias</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Sections 2.12-2.13 and 4.9</w:t>
      </w:r>
    </w:p>
    <w:p>
      <w:pPr>
        <w:spacing w:after="60"/>
        <w:ind w:left="240"/>
      </w:pPr>
      <w:r>
        <w:rPr>
          <w:b/>
          <w:color w:val="2A4E7A"/>
        </w:rPr>
        <w:t xml:space="preserve">Reviewer concern: </w:t>
      </w:r>
      <w:r>
        <w:rPr>
          <w:color w:val="2A4E7A"/>
        </w:rPr>
        <w:t>Within each child-by-episode-type stratum, the universe builder retains the earliest episodes in transcript order until the per-child ceiling is reached. Because the source corpora are longitudinal, this can preferentially retain earlier visits or sessions when an episode type contains more observations than the allocated capacity. The lower-cap main universe (273 per child) and higher-cap evaluation universe (455 per child) may therefore differ not only in size but also in how far they extend through each child's longitudinal record. The manuscript appropriately avoids causal attribution between branches, but the temporal representativeness of the constructed universes is not yet characterized.</w:t>
      </w:r>
    </w:p>
    <w:p>
      <w:pPr>
        <w:spacing w:after="60"/>
        <w:ind w:left="240"/>
      </w:pPr>
      <w:r>
        <w:rPr>
          <w:b/>
          <w:color w:val="2A4E7A"/>
        </w:rPr>
        <w:t xml:space="preserve">Required action: </w:t>
      </w:r>
      <w:r>
        <w:rPr>
          <w:color w:val="2A4E7A"/>
        </w:rPr>
        <w:t>Report a simple session/longitudinal-coverage diagnostic, such as the number or proportion of sessions represented per child and the distribution of relative session position in the 2,442-segment universe, 3,371-segment universe, 330 main batch, and preferably the post-audit 121 evaluation set. If early-session enrichment is present, acknowledge it in the Limitations. Do not redraw the frozen samples. A new model experiment is unnecessary unless the diagnostic reveals a substantial imbalance.</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Early-session enrichment is present and is substantial in the lower-cap universe.</w:t>
      </w:r>
      <w:r>
        <w:rPr/>
        <w:t xml:space="preserve"> Across all segmented episodes the mean relative session position is 0.50 (0 = a child's first visit, 1 = the last). The 2,442-segment universe has mean 0.28, with 52.5% of its segments in the earliest quarter of each child's record against 23.4% available, and it omits 15 of the 85 sessions entirely. The 3,371-segment universe is less skewed (mean 0.34; 84/85 sessions). The two branches therefore also differ in longitudinal reach: the main batch has mean 0.27 and the post-audit 121 0.39. The largest shifts, and all whole-session omissions, are in the Flusberg children with 8–13 sessions; the Rollins children (4–5 sessions) keep every session in both universes but are still shifted earlier in the 2,442 universe. Nothing was redrawn.</w:t>
      </w:r>
    </w:p>
    <w:p>
      <w:r>
        <w:rPr>
          <w:b/>
        </w:rPr>
        <w:t>Definition.</w:t>
      </w:r>
      <w:r>
        <w:rPr/>
        <w:t xml:space="preserve"> Each child's sessions are ordered by the child's age in the CHAT @ID header (available for all 85 sessions). Session k of n has relative position k / (n − 1). Each episode takes its session's position. The reference is all 9,018 segmented episodes: what the universe builder could have retained.</w:t>
      </w:r>
    </w:p>
    <w:p>
      <w:pPr>
        <w:keepNext/>
        <w:spacing w:before="120"/>
      </w:pPr>
      <w:r>
        <w:rPr>
          <w:b/>
          <w:sz w:val="19"/>
        </w:rPr>
        <w:t xml:space="preserve">Table 2. </w:t>
      </w:r>
      <w:r>
        <w:rPr>
          <w:sz w:val="19"/>
        </w:rPr>
        <w:t xml:space="preserve">Longitudinal coverage by set. Shift = mean over children of (child's mean position in the set − child's mean position over all episodes); negative = earlier. Source: </w:t>
      </w:r>
      <w:r>
        <w:rPr>
          <w:rFonts w:ascii="Consolas" w:hAnsi="Consolas"/>
          <w:sz w:val="19"/>
        </w:rPr>
        <w:t>round8_analysis.json</w:t>
      </w:r>
      <w:r>
        <w:rPr>
          <w:sz w:val="19"/>
        </w:rPr>
        <w:t xml:space="preserve"> (session_coverage.sets).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2736"/>
            <w:shd w:val="clear" w:color="auto" w:fill="E8EEF6"/>
          </w:tcPr>
          <w:p>
            <w:r/>
            <w:r>
              <w:rPr>
                <w:b/>
                <w:sz w:val="18"/>
              </w:rPr>
              <w:t>Set</w:t>
            </w:r>
          </w:p>
        </w:tc>
        <w:tc>
          <w:tcPr>
            <w:tcW w:type="dxa" w:w="720"/>
            <w:shd w:val="clear" w:color="auto" w:fill="E8EEF6"/>
          </w:tcPr>
          <w:p>
            <w:r/>
            <w:r>
              <w:rPr>
                <w:b/>
                <w:sz w:val="18"/>
              </w:rPr>
              <w:t>n</w:t>
            </w:r>
          </w:p>
        </w:tc>
        <w:tc>
          <w:tcPr>
            <w:tcW w:type="dxa" w:w="1152"/>
            <w:shd w:val="clear" w:color="auto" w:fill="E8EEF6"/>
          </w:tcPr>
          <w:p>
            <w:r/>
            <w:r>
              <w:rPr>
                <w:b/>
                <w:sz w:val="18"/>
              </w:rPr>
              <w:t>Sessions represented</w:t>
            </w:r>
          </w:p>
        </w:tc>
        <w:tc>
          <w:tcPr>
            <w:tcW w:type="dxa" w:w="1152"/>
            <w:shd w:val="clear" w:color="auto" w:fill="E8EEF6"/>
          </w:tcPr>
          <w:p>
            <w:r/>
            <w:r>
              <w:rPr>
                <w:b/>
                <w:sz w:val="18"/>
              </w:rPr>
              <w:t>Children with all sessions</w:t>
            </w:r>
          </w:p>
        </w:tc>
        <w:tc>
          <w:tcPr>
            <w:tcW w:type="dxa" w:w="1008"/>
            <w:shd w:val="clear" w:color="auto" w:fill="E8EEF6"/>
          </w:tcPr>
          <w:p>
            <w:r/>
            <w:r>
              <w:rPr>
                <w:b/>
                <w:sz w:val="18"/>
              </w:rPr>
              <w:t>Mean position</w:t>
            </w:r>
          </w:p>
        </w:tc>
        <w:tc>
          <w:tcPr>
            <w:tcW w:type="dxa" w:w="1008"/>
            <w:shd w:val="clear" w:color="auto" w:fill="E8EEF6"/>
          </w:tcPr>
          <w:p>
            <w:r/>
            <w:r>
              <w:rPr>
                <w:b/>
                <w:sz w:val="18"/>
              </w:rPr>
              <w:t>Earliest quarter</w:t>
            </w:r>
          </w:p>
        </w:tc>
        <w:tc>
          <w:tcPr>
            <w:tcW w:type="dxa" w:w="1008"/>
            <w:shd w:val="clear" w:color="auto" w:fill="E8EEF6"/>
          </w:tcPr>
          <w:p>
            <w:r/>
            <w:r>
              <w:rPr>
                <w:b/>
                <w:sz w:val="18"/>
              </w:rPr>
              <w:t>Latest quarter</w:t>
            </w:r>
          </w:p>
        </w:tc>
        <w:tc>
          <w:tcPr>
            <w:tcW w:type="dxa" w:w="936"/>
            <w:shd w:val="clear" w:color="auto" w:fill="E8EEF6"/>
          </w:tcPr>
          <w:p>
            <w:r/>
            <w:r>
              <w:rPr>
                <w:b/>
                <w:sz w:val="18"/>
              </w:rPr>
              <w:t>Shift vs all</w:t>
            </w:r>
          </w:p>
        </w:tc>
      </w:tr>
      <w:tr>
        <w:tc>
          <w:tcPr>
            <w:tcW w:type="dxa" w:w="2736"/>
          </w:tcPr>
          <w:p>
            <w:r/>
            <w:r>
              <w:rPr>
                <w:sz w:val="18"/>
              </w:rPr>
              <w:t>All segmented episodes (9,018)</w:t>
            </w:r>
          </w:p>
        </w:tc>
        <w:tc>
          <w:tcPr>
            <w:tcW w:type="dxa" w:w="720"/>
          </w:tcPr>
          <w:p>
            <w:r/>
            <w:r>
              <w:rPr>
                <w:sz w:val="18"/>
              </w:rPr>
              <w:t>9,018</w:t>
            </w:r>
          </w:p>
        </w:tc>
        <w:tc>
          <w:tcPr>
            <w:tcW w:type="dxa" w:w="1152"/>
          </w:tcPr>
          <w:p>
            <w:r/>
            <w:r>
              <w:rPr>
                <w:sz w:val="18"/>
              </w:rPr>
              <w:t>85/85</w:t>
            </w:r>
          </w:p>
        </w:tc>
        <w:tc>
          <w:tcPr>
            <w:tcW w:type="dxa" w:w="1152"/>
          </w:tcPr>
          <w:p>
            <w:r/>
            <w:r>
              <w:rPr>
                <w:sz w:val="18"/>
              </w:rPr>
              <w:t>11/11</w:t>
            </w:r>
          </w:p>
        </w:tc>
        <w:tc>
          <w:tcPr>
            <w:tcW w:type="dxa" w:w="1008"/>
          </w:tcPr>
          <w:p>
            <w:r/>
            <w:r>
              <w:rPr>
                <w:sz w:val="18"/>
              </w:rPr>
              <w:t>0.503</w:t>
            </w:r>
          </w:p>
        </w:tc>
        <w:tc>
          <w:tcPr>
            <w:tcW w:type="dxa" w:w="1008"/>
          </w:tcPr>
          <w:p>
            <w:r/>
            <w:r>
              <w:rPr>
                <w:sz w:val="18"/>
              </w:rPr>
              <w:t>23.4%</w:t>
            </w:r>
          </w:p>
        </w:tc>
        <w:tc>
          <w:tcPr>
            <w:tcW w:type="dxa" w:w="1008"/>
          </w:tcPr>
          <w:p>
            <w:r/>
            <w:r>
              <w:rPr>
                <w:sz w:val="18"/>
              </w:rPr>
              <w:t>26.0%</w:t>
            </w:r>
          </w:p>
        </w:tc>
        <w:tc>
          <w:tcPr>
            <w:tcW w:type="dxa" w:w="936"/>
          </w:tcPr>
          <w:p>
            <w:r/>
            <w:r>
              <w:rPr>
                <w:sz w:val="18"/>
              </w:rPr>
              <w:t>ref.</w:t>
            </w:r>
          </w:p>
        </w:tc>
      </w:tr>
      <w:tr>
        <w:tc>
          <w:tcPr>
            <w:tcW w:type="dxa" w:w="2736"/>
          </w:tcPr>
          <w:p>
            <w:r/>
            <w:r>
              <w:rPr>
                <w:sz w:val="18"/>
              </w:rPr>
              <w:t>2,442 universe (cap 273/child)</w:t>
            </w:r>
          </w:p>
        </w:tc>
        <w:tc>
          <w:tcPr>
            <w:tcW w:type="dxa" w:w="720"/>
          </w:tcPr>
          <w:p>
            <w:r/>
            <w:r>
              <w:rPr>
                <w:sz w:val="18"/>
              </w:rPr>
              <w:t>2,442</w:t>
            </w:r>
          </w:p>
        </w:tc>
        <w:tc>
          <w:tcPr>
            <w:tcW w:type="dxa" w:w="1152"/>
          </w:tcPr>
          <w:p>
            <w:r/>
            <w:r>
              <w:rPr>
                <w:sz w:val="18"/>
              </w:rPr>
              <w:t>70/85</w:t>
            </w:r>
          </w:p>
        </w:tc>
        <w:tc>
          <w:tcPr>
            <w:tcW w:type="dxa" w:w="1152"/>
          </w:tcPr>
          <w:p>
            <w:r/>
            <w:r>
              <w:rPr>
                <w:sz w:val="18"/>
              </w:rPr>
              <w:t>7/11</w:t>
            </w:r>
          </w:p>
        </w:tc>
        <w:tc>
          <w:tcPr>
            <w:tcW w:type="dxa" w:w="1008"/>
          </w:tcPr>
          <w:p>
            <w:r/>
            <w:r>
              <w:rPr>
                <w:sz w:val="18"/>
              </w:rPr>
              <w:t>0.284</w:t>
            </w:r>
          </w:p>
        </w:tc>
        <w:tc>
          <w:tcPr>
            <w:tcW w:type="dxa" w:w="1008"/>
          </w:tcPr>
          <w:p>
            <w:r/>
            <w:r>
              <w:rPr>
                <w:sz w:val="18"/>
              </w:rPr>
              <w:t>52.5%</w:t>
            </w:r>
          </w:p>
        </w:tc>
        <w:tc>
          <w:tcPr>
            <w:tcW w:type="dxa" w:w="1008"/>
          </w:tcPr>
          <w:p>
            <w:r/>
            <w:r>
              <w:rPr>
                <w:sz w:val="18"/>
              </w:rPr>
              <w:t>7.1%</w:t>
            </w:r>
          </w:p>
        </w:tc>
        <w:tc>
          <w:tcPr>
            <w:tcW w:type="dxa" w:w="936"/>
          </w:tcPr>
          <w:p>
            <w:r/>
            <w:r>
              <w:rPr>
                <w:sz w:val="18"/>
              </w:rPr>
              <w:t>-0.206</w:t>
            </w:r>
          </w:p>
        </w:tc>
      </w:tr>
      <w:tr>
        <w:tc>
          <w:tcPr>
            <w:tcW w:type="dxa" w:w="2736"/>
          </w:tcPr>
          <w:p>
            <w:r/>
            <w:r>
              <w:rPr>
                <w:sz w:val="18"/>
              </w:rPr>
              <w:t>3,371 universe (cap 455/child)</w:t>
            </w:r>
          </w:p>
        </w:tc>
        <w:tc>
          <w:tcPr>
            <w:tcW w:type="dxa" w:w="720"/>
          </w:tcPr>
          <w:p>
            <w:r/>
            <w:r>
              <w:rPr>
                <w:sz w:val="18"/>
              </w:rPr>
              <w:t>3,371</w:t>
            </w:r>
          </w:p>
        </w:tc>
        <w:tc>
          <w:tcPr>
            <w:tcW w:type="dxa" w:w="1152"/>
          </w:tcPr>
          <w:p>
            <w:r/>
            <w:r>
              <w:rPr>
                <w:sz w:val="18"/>
              </w:rPr>
              <w:t>84/85</w:t>
            </w:r>
          </w:p>
        </w:tc>
        <w:tc>
          <w:tcPr>
            <w:tcW w:type="dxa" w:w="1152"/>
          </w:tcPr>
          <w:p>
            <w:r/>
            <w:r>
              <w:rPr>
                <w:sz w:val="18"/>
              </w:rPr>
              <w:t>10/11</w:t>
            </w:r>
          </w:p>
        </w:tc>
        <w:tc>
          <w:tcPr>
            <w:tcW w:type="dxa" w:w="1008"/>
          </w:tcPr>
          <w:p>
            <w:r/>
            <w:r>
              <w:rPr>
                <w:sz w:val="18"/>
              </w:rPr>
              <w:t>0.337</w:t>
            </w:r>
          </w:p>
        </w:tc>
        <w:tc>
          <w:tcPr>
            <w:tcW w:type="dxa" w:w="1008"/>
          </w:tcPr>
          <w:p>
            <w:r/>
            <w:r>
              <w:rPr>
                <w:sz w:val="18"/>
              </w:rPr>
              <w:t>48.2%</w:t>
            </w:r>
          </w:p>
        </w:tc>
        <w:tc>
          <w:tcPr>
            <w:tcW w:type="dxa" w:w="1008"/>
          </w:tcPr>
          <w:p>
            <w:r/>
            <w:r>
              <w:rPr>
                <w:sz w:val="18"/>
              </w:rPr>
              <w:t>14.4%</w:t>
            </w:r>
          </w:p>
        </w:tc>
        <w:tc>
          <w:tcPr>
            <w:tcW w:type="dxa" w:w="936"/>
          </w:tcPr>
          <w:p>
            <w:r/>
            <w:r>
              <w:rPr>
                <w:sz w:val="18"/>
              </w:rPr>
              <w:t>-0.147</w:t>
            </w:r>
          </w:p>
        </w:tc>
      </w:tr>
      <w:tr>
        <w:tc>
          <w:tcPr>
            <w:tcW w:type="dxa" w:w="2736"/>
          </w:tcPr>
          <w:p>
            <w:r/>
            <w:r>
              <w:rPr>
                <w:sz w:val="18"/>
              </w:rPr>
              <w:t>Annotation pool (1,320)</w:t>
            </w:r>
          </w:p>
        </w:tc>
        <w:tc>
          <w:tcPr>
            <w:tcW w:type="dxa" w:w="720"/>
          </w:tcPr>
          <w:p>
            <w:r/>
            <w:r>
              <w:rPr>
                <w:sz w:val="18"/>
              </w:rPr>
              <w:t>1,320</w:t>
            </w:r>
          </w:p>
        </w:tc>
        <w:tc>
          <w:tcPr>
            <w:tcW w:type="dxa" w:w="1152"/>
          </w:tcPr>
          <w:p>
            <w:r/>
            <w:r>
              <w:rPr>
                <w:sz w:val="18"/>
              </w:rPr>
              <w:t>70/85</w:t>
            </w:r>
          </w:p>
        </w:tc>
        <w:tc>
          <w:tcPr>
            <w:tcW w:type="dxa" w:w="1152"/>
          </w:tcPr>
          <w:p>
            <w:r/>
            <w:r>
              <w:rPr>
                <w:sz w:val="18"/>
              </w:rPr>
              <w:t>7/11</w:t>
            </w:r>
          </w:p>
        </w:tc>
        <w:tc>
          <w:tcPr>
            <w:tcW w:type="dxa" w:w="1008"/>
          </w:tcPr>
          <w:p>
            <w:r/>
            <w:r>
              <w:rPr>
                <w:sz w:val="18"/>
              </w:rPr>
              <w:t>0.283</w:t>
            </w:r>
          </w:p>
        </w:tc>
        <w:tc>
          <w:tcPr>
            <w:tcW w:type="dxa" w:w="1008"/>
          </w:tcPr>
          <w:p>
            <w:r/>
            <w:r>
              <w:rPr>
                <w:sz w:val="18"/>
              </w:rPr>
              <w:t>52.1%</w:t>
            </w:r>
          </w:p>
        </w:tc>
        <w:tc>
          <w:tcPr>
            <w:tcW w:type="dxa" w:w="1008"/>
          </w:tcPr>
          <w:p>
            <w:r/>
            <w:r>
              <w:rPr>
                <w:sz w:val="18"/>
              </w:rPr>
              <w:t>7.1%</w:t>
            </w:r>
          </w:p>
        </w:tc>
        <w:tc>
          <w:tcPr>
            <w:tcW w:type="dxa" w:w="936"/>
          </w:tcPr>
          <w:p>
            <w:r/>
            <w:r>
              <w:rPr>
                <w:sz w:val="18"/>
              </w:rPr>
              <w:t>-0.211</w:t>
            </w:r>
          </w:p>
        </w:tc>
      </w:tr>
      <w:tr>
        <w:tc>
          <w:tcPr>
            <w:tcW w:type="dxa" w:w="2736"/>
          </w:tcPr>
          <w:p>
            <w:r/>
            <w:r>
              <w:rPr>
                <w:sz w:val="18"/>
              </w:rPr>
              <w:t>Main batch (330)</w:t>
            </w:r>
          </w:p>
        </w:tc>
        <w:tc>
          <w:tcPr>
            <w:tcW w:type="dxa" w:w="720"/>
          </w:tcPr>
          <w:p>
            <w:r/>
            <w:r>
              <w:rPr>
                <w:sz w:val="18"/>
              </w:rPr>
              <w:t>330</w:t>
            </w:r>
          </w:p>
        </w:tc>
        <w:tc>
          <w:tcPr>
            <w:tcW w:type="dxa" w:w="1152"/>
          </w:tcPr>
          <w:p>
            <w:r/>
            <w:r>
              <w:rPr>
                <w:sz w:val="18"/>
              </w:rPr>
              <w:t>60/85</w:t>
            </w:r>
          </w:p>
        </w:tc>
        <w:tc>
          <w:tcPr>
            <w:tcW w:type="dxa" w:w="1152"/>
          </w:tcPr>
          <w:p>
            <w:r/>
            <w:r>
              <w:rPr>
                <w:sz w:val="18"/>
              </w:rPr>
              <w:t>5/11</w:t>
            </w:r>
          </w:p>
        </w:tc>
        <w:tc>
          <w:tcPr>
            <w:tcW w:type="dxa" w:w="1008"/>
          </w:tcPr>
          <w:p>
            <w:r/>
            <w:r>
              <w:rPr>
                <w:sz w:val="18"/>
              </w:rPr>
              <w:t>0.273</w:t>
            </w:r>
          </w:p>
        </w:tc>
        <w:tc>
          <w:tcPr>
            <w:tcW w:type="dxa" w:w="1008"/>
          </w:tcPr>
          <w:p>
            <w:r/>
            <w:r>
              <w:rPr>
                <w:sz w:val="18"/>
              </w:rPr>
              <w:t>53.9%</w:t>
            </w:r>
          </w:p>
        </w:tc>
        <w:tc>
          <w:tcPr>
            <w:tcW w:type="dxa" w:w="1008"/>
          </w:tcPr>
          <w:p>
            <w:r/>
            <w:r>
              <w:rPr>
                <w:sz w:val="18"/>
              </w:rPr>
              <w:t>6.7%</w:t>
            </w:r>
          </w:p>
        </w:tc>
        <w:tc>
          <w:tcPr>
            <w:tcW w:type="dxa" w:w="936"/>
          </w:tcPr>
          <w:p>
            <w:r/>
            <w:r>
              <w:rPr>
                <w:sz w:val="18"/>
              </w:rPr>
              <w:t>-0.222</w:t>
            </w:r>
          </w:p>
        </w:tc>
      </w:tr>
      <w:tr>
        <w:tc>
          <w:tcPr>
            <w:tcW w:type="dxa" w:w="2736"/>
          </w:tcPr>
          <w:p>
            <w:r/>
            <w:r>
              <w:rPr>
                <w:sz w:val="18"/>
              </w:rPr>
              <w:t>Frozen evaluation set (132)</w:t>
            </w:r>
          </w:p>
        </w:tc>
        <w:tc>
          <w:tcPr>
            <w:tcW w:type="dxa" w:w="720"/>
          </w:tcPr>
          <w:p>
            <w:r/>
            <w:r>
              <w:rPr>
                <w:sz w:val="18"/>
              </w:rPr>
              <w:t>132</w:t>
            </w:r>
          </w:p>
        </w:tc>
        <w:tc>
          <w:tcPr>
            <w:tcW w:type="dxa" w:w="1152"/>
          </w:tcPr>
          <w:p>
            <w:r/>
            <w:r>
              <w:rPr>
                <w:sz w:val="18"/>
              </w:rPr>
              <w:t>58/85</w:t>
            </w:r>
          </w:p>
        </w:tc>
        <w:tc>
          <w:tcPr>
            <w:tcW w:type="dxa" w:w="1152"/>
          </w:tcPr>
          <w:p>
            <w:r/>
            <w:r>
              <w:rPr>
                <w:sz w:val="18"/>
              </w:rPr>
              <w:t>4/11</w:t>
            </w:r>
          </w:p>
        </w:tc>
        <w:tc>
          <w:tcPr>
            <w:tcW w:type="dxa" w:w="1008"/>
          </w:tcPr>
          <w:p>
            <w:r/>
            <w:r>
              <w:rPr>
                <w:sz w:val="18"/>
              </w:rPr>
              <w:t>0.406</w:t>
            </w:r>
          </w:p>
        </w:tc>
        <w:tc>
          <w:tcPr>
            <w:tcW w:type="dxa" w:w="1008"/>
          </w:tcPr>
          <w:p>
            <w:r/>
            <w:r>
              <w:rPr>
                <w:sz w:val="18"/>
              </w:rPr>
              <w:t>35.6%</w:t>
            </w:r>
          </w:p>
        </w:tc>
        <w:tc>
          <w:tcPr>
            <w:tcW w:type="dxa" w:w="1008"/>
          </w:tcPr>
          <w:p>
            <w:r/>
            <w:r>
              <w:rPr>
                <w:sz w:val="18"/>
              </w:rPr>
              <w:t>17.4%</w:t>
            </w:r>
          </w:p>
        </w:tc>
        <w:tc>
          <w:tcPr>
            <w:tcW w:type="dxa" w:w="936"/>
          </w:tcPr>
          <w:p>
            <w:r/>
            <w:r>
              <w:rPr>
                <w:sz w:val="18"/>
              </w:rPr>
              <w:t>-0.089</w:t>
            </w:r>
          </w:p>
        </w:tc>
      </w:tr>
      <w:tr>
        <w:tc>
          <w:tcPr>
            <w:tcW w:type="dxa" w:w="2736"/>
          </w:tcPr>
          <w:p>
            <w:r/>
            <w:r>
              <w:rPr>
                <w:sz w:val="18"/>
              </w:rPr>
              <w:t>Post-audit evaluation set (121)</w:t>
            </w:r>
          </w:p>
        </w:tc>
        <w:tc>
          <w:tcPr>
            <w:tcW w:type="dxa" w:w="720"/>
          </w:tcPr>
          <w:p>
            <w:r/>
            <w:r>
              <w:rPr>
                <w:sz w:val="18"/>
              </w:rPr>
              <w:t>121</w:t>
            </w:r>
          </w:p>
        </w:tc>
        <w:tc>
          <w:tcPr>
            <w:tcW w:type="dxa" w:w="1152"/>
          </w:tcPr>
          <w:p>
            <w:r/>
            <w:r>
              <w:rPr>
                <w:sz w:val="18"/>
              </w:rPr>
              <w:t>57/85</w:t>
            </w:r>
          </w:p>
        </w:tc>
        <w:tc>
          <w:tcPr>
            <w:tcW w:type="dxa" w:w="1152"/>
          </w:tcPr>
          <w:p>
            <w:r/>
            <w:r>
              <w:rPr>
                <w:sz w:val="18"/>
              </w:rPr>
              <w:t>3/11</w:t>
            </w:r>
          </w:p>
        </w:tc>
        <w:tc>
          <w:tcPr>
            <w:tcW w:type="dxa" w:w="1008"/>
          </w:tcPr>
          <w:p>
            <w:r/>
            <w:r>
              <w:rPr>
                <w:sz w:val="18"/>
              </w:rPr>
              <w:t>0.385</w:t>
            </w:r>
          </w:p>
        </w:tc>
        <w:tc>
          <w:tcPr>
            <w:tcW w:type="dxa" w:w="1008"/>
          </w:tcPr>
          <w:p>
            <w:r/>
            <w:r>
              <w:rPr>
                <w:sz w:val="18"/>
              </w:rPr>
              <w:t>38.8%</w:t>
            </w:r>
          </w:p>
        </w:tc>
        <w:tc>
          <w:tcPr>
            <w:tcW w:type="dxa" w:w="1008"/>
          </w:tcPr>
          <w:p>
            <w:r/>
            <w:r>
              <w:rPr>
                <w:sz w:val="18"/>
              </w:rPr>
              <w:t>17.4%</w:t>
            </w:r>
          </w:p>
        </w:tc>
        <w:tc>
          <w:tcPr>
            <w:tcW w:type="dxa" w:w="936"/>
          </w:tcPr>
          <w:p>
            <w:r/>
            <w:r>
              <w:rPr>
                <w:sz w:val="18"/>
              </w:rPr>
              <w:t>-0.110</w:t>
            </w:r>
          </w:p>
        </w:tc>
      </w:tr>
    </w:tbl>
    <w:p>
      <w:pPr>
        <w:spacing w:after="0"/>
      </w:pPr>
    </w:p>
    <w:p>
      <w:pPr>
        <w:jc w:val="center"/>
      </w:pPr>
      <w:r>
        <w:drawing>
          <wp:inline xmlns:a="http://schemas.openxmlformats.org/drawingml/2006/main" xmlns:pic="http://schemas.openxmlformats.org/drawingml/2006/picture">
            <wp:extent cx="6126480" cy="2340383"/>
            <wp:docPr id="1" name="Picture 1"/>
            <wp:cNvGraphicFramePr>
              <a:graphicFrameLocks noChangeAspect="1"/>
            </wp:cNvGraphicFramePr>
            <a:graphic>
              <a:graphicData uri="http://schemas.openxmlformats.org/drawingml/2006/picture">
                <pic:pic>
                  <pic:nvPicPr>
                    <pic:cNvPr id="0" name="r8_fig1_session_quartiles.png"/>
                    <pic:cNvPicPr/>
                  </pic:nvPicPr>
                  <pic:blipFill>
                    <a:blip r:embed="rId9"/>
                    <a:stretch>
                      <a:fillRect/>
                    </a:stretch>
                  </pic:blipFill>
                  <pic:spPr>
                    <a:xfrm>
                      <a:off x="0" y="0"/>
                      <a:ext cx="6126480" cy="2340383"/>
                    </a:xfrm>
                    <a:prstGeom prst="rect"/>
                  </pic:spPr>
                </pic:pic>
              </a:graphicData>
            </a:graphic>
          </wp:inline>
        </w:drawing>
      </w:r>
    </w:p>
    <w:p>
      <w:r>
        <w:rPr>
          <w:b/>
          <w:sz w:val="19"/>
        </w:rPr>
        <w:t xml:space="preserve">Figure 1. </w:t>
      </w:r>
      <w:r>
        <w:rPr>
          <w:sz w:val="19"/>
        </w:rPr>
        <w:t>Share of each set's episodes by relative session position quarter. All segmented episodes are spread evenly; the 2,442 universe, the pool and the main batch concentrate in each child's earliest quarter.</w:t>
      </w:r>
    </w:p>
    <w:p>
      <w:pPr>
        <w:keepNext/>
        <w:spacing w:before="120"/>
      </w:pPr>
      <w:r>
        <w:rPr>
          <w:b/>
          <w:sz w:val="19"/>
        </w:rPr>
        <w:t xml:space="preserve">Table 3. </w:t>
      </w:r>
      <w:r>
        <w:rPr>
          <w:sz w:val="19"/>
        </w:rPr>
        <w:t xml:space="preserve">Per child: sessions represented / total · mean relative position. Source: </w:t>
      </w:r>
      <w:r>
        <w:rPr>
          <w:rFonts w:ascii="Consolas" w:hAnsi="Consolas"/>
          <w:sz w:val="19"/>
        </w:rPr>
        <w:t>round8_analysis.json</w:t>
      </w:r>
      <w:r>
        <w:rPr>
          <w:sz w:val="19"/>
        </w:rPr>
        <w:t xml:space="preserve"> (session_coverage.sets.*.per_child).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872"/>
            <w:shd w:val="clear" w:color="auto" w:fill="E8EEF6"/>
          </w:tcPr>
          <w:p>
            <w:r/>
            <w:r>
              <w:rPr>
                <w:b/>
                <w:sz w:val="18"/>
              </w:rPr>
              <w:t>Child</w:t>
            </w:r>
          </w:p>
        </w:tc>
        <w:tc>
          <w:tcPr>
            <w:tcW w:type="dxa" w:w="1512"/>
            <w:shd w:val="clear" w:color="auto" w:fill="E8EEF6"/>
          </w:tcPr>
          <w:p>
            <w:r/>
            <w:r>
              <w:rPr>
                <w:b/>
                <w:sz w:val="18"/>
              </w:rPr>
              <w:t>All episodes</w:t>
            </w:r>
          </w:p>
        </w:tc>
        <w:tc>
          <w:tcPr>
            <w:tcW w:type="dxa" w:w="1512"/>
            <w:shd w:val="clear" w:color="auto" w:fill="E8EEF6"/>
          </w:tcPr>
          <w:p>
            <w:r/>
            <w:r>
              <w:rPr>
                <w:b/>
                <w:sz w:val="18"/>
              </w:rPr>
              <w:t>2,442 universe</w:t>
            </w:r>
          </w:p>
        </w:tc>
        <w:tc>
          <w:tcPr>
            <w:tcW w:type="dxa" w:w="1512"/>
            <w:shd w:val="clear" w:color="auto" w:fill="E8EEF6"/>
          </w:tcPr>
          <w:p>
            <w:r/>
            <w:r>
              <w:rPr>
                <w:b/>
                <w:sz w:val="18"/>
              </w:rPr>
              <w:t>3,371 universe</w:t>
            </w:r>
          </w:p>
        </w:tc>
        <w:tc>
          <w:tcPr>
            <w:tcW w:type="dxa" w:w="1512"/>
            <w:shd w:val="clear" w:color="auto" w:fill="E8EEF6"/>
          </w:tcPr>
          <w:p>
            <w:r/>
            <w:r>
              <w:rPr>
                <w:b/>
                <w:sz w:val="18"/>
              </w:rPr>
              <w:t>Main batch 330</w:t>
            </w:r>
          </w:p>
        </w:tc>
        <w:tc>
          <w:tcPr>
            <w:tcW w:type="dxa" w:w="1512"/>
            <w:shd w:val="clear" w:color="auto" w:fill="E8EEF6"/>
          </w:tcPr>
          <w:p>
            <w:r/>
            <w:r>
              <w:rPr>
                <w:b/>
                <w:sz w:val="18"/>
              </w:rPr>
              <w:t>Evaluation 121</w:t>
            </w:r>
          </w:p>
        </w:tc>
      </w:tr>
      <w:tr>
        <w:tc>
          <w:tcPr>
            <w:tcW w:type="dxa" w:w="1872"/>
          </w:tcPr>
          <w:p>
            <w:r/>
            <w:r>
              <w:rPr>
                <w:sz w:val="18"/>
              </w:rPr>
              <w:t>mark</w:t>
            </w:r>
          </w:p>
        </w:tc>
        <w:tc>
          <w:tcPr>
            <w:tcW w:type="dxa" w:w="1512"/>
          </w:tcPr>
          <w:p>
            <w:r/>
            <w:r>
              <w:rPr>
                <w:sz w:val="18"/>
              </w:rPr>
              <w:t>13/13 · 0.48</w:t>
            </w:r>
          </w:p>
        </w:tc>
        <w:tc>
          <w:tcPr>
            <w:tcW w:type="dxa" w:w="1512"/>
          </w:tcPr>
          <w:p>
            <w:r/>
            <w:r>
              <w:rPr>
                <w:sz w:val="18"/>
              </w:rPr>
              <w:t>8/13 · 0.18</w:t>
            </w:r>
          </w:p>
        </w:tc>
        <w:tc>
          <w:tcPr>
            <w:tcW w:type="dxa" w:w="1512"/>
          </w:tcPr>
          <w:p>
            <w:r/>
            <w:r>
              <w:rPr>
                <w:sz w:val="18"/>
              </w:rPr>
              <w:t>12/13 · 0.21</w:t>
            </w:r>
          </w:p>
        </w:tc>
        <w:tc>
          <w:tcPr>
            <w:tcW w:type="dxa" w:w="1512"/>
          </w:tcPr>
          <w:p>
            <w:r/>
            <w:r>
              <w:rPr>
                <w:sz w:val="18"/>
              </w:rPr>
              <w:t>6/13 · 0.25</w:t>
            </w:r>
          </w:p>
        </w:tc>
        <w:tc>
          <w:tcPr>
            <w:tcW w:type="dxa" w:w="1512"/>
          </w:tcPr>
          <w:p>
            <w:r/>
            <w:r>
              <w:rPr>
                <w:sz w:val="18"/>
              </w:rPr>
              <w:t>5/13 · 0.17</w:t>
            </w:r>
          </w:p>
        </w:tc>
      </w:tr>
      <w:tr>
        <w:tc>
          <w:tcPr>
            <w:tcW w:type="dxa" w:w="1872"/>
          </w:tcPr>
          <w:p>
            <w:r/>
            <w:r>
              <w:rPr>
                <w:sz w:val="18"/>
              </w:rPr>
              <w:t>jack</w:t>
            </w:r>
          </w:p>
        </w:tc>
        <w:tc>
          <w:tcPr>
            <w:tcW w:type="dxa" w:w="1512"/>
          </w:tcPr>
          <w:p>
            <w:r/>
            <w:r>
              <w:rPr>
                <w:sz w:val="18"/>
              </w:rPr>
              <w:t>12/12 · 0.49</w:t>
            </w:r>
          </w:p>
        </w:tc>
        <w:tc>
          <w:tcPr>
            <w:tcW w:type="dxa" w:w="1512"/>
          </w:tcPr>
          <w:p>
            <w:r/>
            <w:r>
              <w:rPr>
                <w:sz w:val="18"/>
              </w:rPr>
              <w:t>7/12 · 0.15</w:t>
            </w:r>
          </w:p>
        </w:tc>
        <w:tc>
          <w:tcPr>
            <w:tcW w:type="dxa" w:w="1512"/>
          </w:tcPr>
          <w:p>
            <w:r/>
            <w:r>
              <w:rPr>
                <w:sz w:val="18"/>
              </w:rPr>
              <w:t>12/12 · 0.23</w:t>
            </w:r>
          </w:p>
        </w:tc>
        <w:tc>
          <w:tcPr>
            <w:tcW w:type="dxa" w:w="1512"/>
          </w:tcPr>
          <w:p>
            <w:r/>
            <w:r>
              <w:rPr>
                <w:sz w:val="18"/>
              </w:rPr>
              <w:t>6/12 · 0.13</w:t>
            </w:r>
          </w:p>
        </w:tc>
        <w:tc>
          <w:tcPr>
            <w:tcW w:type="dxa" w:w="1512"/>
          </w:tcPr>
          <w:p>
            <w:r/>
            <w:r>
              <w:rPr>
                <w:sz w:val="18"/>
              </w:rPr>
              <w:t>7/12 · 0.30</w:t>
            </w:r>
          </w:p>
        </w:tc>
      </w:tr>
      <w:tr>
        <w:tc>
          <w:tcPr>
            <w:tcW w:type="dxa" w:w="1872"/>
          </w:tcPr>
          <w:p>
            <w:r/>
            <w:r>
              <w:rPr>
                <w:sz w:val="18"/>
              </w:rPr>
              <w:t>rick</w:t>
            </w:r>
          </w:p>
        </w:tc>
        <w:tc>
          <w:tcPr>
            <w:tcW w:type="dxa" w:w="1512"/>
          </w:tcPr>
          <w:p>
            <w:r/>
            <w:r>
              <w:rPr>
                <w:sz w:val="18"/>
              </w:rPr>
              <w:t>11/11 · 0.52</w:t>
            </w:r>
          </w:p>
        </w:tc>
        <w:tc>
          <w:tcPr>
            <w:tcW w:type="dxa" w:w="1512"/>
          </w:tcPr>
          <w:p>
            <w:r/>
            <w:r>
              <w:rPr>
                <w:sz w:val="18"/>
              </w:rPr>
              <w:t>11/11 · 0.25</w:t>
            </w:r>
          </w:p>
        </w:tc>
        <w:tc>
          <w:tcPr>
            <w:tcW w:type="dxa" w:w="1512"/>
          </w:tcPr>
          <w:p>
            <w:r/>
            <w:r>
              <w:rPr>
                <w:sz w:val="18"/>
              </w:rPr>
              <w:t>11/11 · 0.23</w:t>
            </w:r>
          </w:p>
        </w:tc>
        <w:tc>
          <w:tcPr>
            <w:tcW w:type="dxa" w:w="1512"/>
          </w:tcPr>
          <w:p>
            <w:r/>
            <w:r>
              <w:rPr>
                <w:sz w:val="18"/>
              </w:rPr>
              <w:t>7/11 · 0.26</w:t>
            </w:r>
          </w:p>
        </w:tc>
        <w:tc>
          <w:tcPr>
            <w:tcW w:type="dxa" w:w="1512"/>
          </w:tcPr>
          <w:p>
            <w:r/>
            <w:r>
              <w:rPr>
                <w:sz w:val="18"/>
              </w:rPr>
              <w:t>6/11 · 0.18</w:t>
            </w:r>
          </w:p>
        </w:tc>
      </w:tr>
      <w:tr>
        <w:tc>
          <w:tcPr>
            <w:tcW w:type="dxa" w:w="1872"/>
          </w:tcPr>
          <w:p>
            <w:r/>
            <w:r>
              <w:rPr>
                <w:sz w:val="18"/>
              </w:rPr>
              <w:t>brett</w:t>
            </w:r>
          </w:p>
        </w:tc>
        <w:tc>
          <w:tcPr>
            <w:tcW w:type="dxa" w:w="1512"/>
          </w:tcPr>
          <w:p>
            <w:r/>
            <w:r>
              <w:rPr>
                <w:sz w:val="18"/>
              </w:rPr>
              <w:t>10/10 · 0.50</w:t>
            </w:r>
          </w:p>
        </w:tc>
        <w:tc>
          <w:tcPr>
            <w:tcW w:type="dxa" w:w="1512"/>
          </w:tcPr>
          <w:p>
            <w:r/>
            <w:r>
              <w:rPr>
                <w:sz w:val="18"/>
              </w:rPr>
              <w:t>7/10 · 0.22</w:t>
            </w:r>
          </w:p>
        </w:tc>
        <w:tc>
          <w:tcPr>
            <w:tcW w:type="dxa" w:w="1512"/>
          </w:tcPr>
          <w:p>
            <w:r/>
            <w:r>
              <w:rPr>
                <w:sz w:val="18"/>
              </w:rPr>
              <w:t>10/10 · 0.25</w:t>
            </w:r>
          </w:p>
        </w:tc>
        <w:tc>
          <w:tcPr>
            <w:tcW w:type="dxa" w:w="1512"/>
          </w:tcPr>
          <w:p>
            <w:r/>
            <w:r>
              <w:rPr>
                <w:sz w:val="18"/>
              </w:rPr>
              <w:t>6/10 · 0.28</w:t>
            </w:r>
          </w:p>
        </w:tc>
        <w:tc>
          <w:tcPr>
            <w:tcW w:type="dxa" w:w="1512"/>
          </w:tcPr>
          <w:p>
            <w:r/>
            <w:r>
              <w:rPr>
                <w:sz w:val="18"/>
              </w:rPr>
              <w:t>7/10 · 0.38</w:t>
            </w:r>
          </w:p>
        </w:tc>
      </w:tr>
      <w:tr>
        <w:tc>
          <w:tcPr>
            <w:tcW w:type="dxa" w:w="1872"/>
          </w:tcPr>
          <w:p>
            <w:r/>
            <w:r>
              <w:rPr>
                <w:sz w:val="18"/>
              </w:rPr>
              <w:t>roger_flusberg</w:t>
            </w:r>
          </w:p>
        </w:tc>
        <w:tc>
          <w:tcPr>
            <w:tcW w:type="dxa" w:w="1512"/>
          </w:tcPr>
          <w:p>
            <w:r/>
            <w:r>
              <w:rPr>
                <w:sz w:val="18"/>
              </w:rPr>
              <w:t>10/10 · 0.56</w:t>
            </w:r>
          </w:p>
        </w:tc>
        <w:tc>
          <w:tcPr>
            <w:tcW w:type="dxa" w:w="1512"/>
          </w:tcPr>
          <w:p>
            <w:r/>
            <w:r>
              <w:rPr>
                <w:sz w:val="18"/>
              </w:rPr>
              <w:t>8/10 · 0.31</w:t>
            </w:r>
          </w:p>
        </w:tc>
        <w:tc>
          <w:tcPr>
            <w:tcW w:type="dxa" w:w="1512"/>
          </w:tcPr>
          <w:p>
            <w:r/>
            <w:r>
              <w:rPr>
                <w:sz w:val="18"/>
              </w:rPr>
              <w:t>10/10 · 0.37</w:t>
            </w:r>
          </w:p>
        </w:tc>
        <w:tc>
          <w:tcPr>
            <w:tcW w:type="dxa" w:w="1512"/>
          </w:tcPr>
          <w:p>
            <w:r/>
            <w:r>
              <w:rPr>
                <w:sz w:val="18"/>
              </w:rPr>
              <w:t>7/10 · 0.34</w:t>
            </w:r>
          </w:p>
        </w:tc>
        <w:tc>
          <w:tcPr>
            <w:tcW w:type="dxa" w:w="1512"/>
          </w:tcPr>
          <w:p>
            <w:r/>
            <w:r>
              <w:rPr>
                <w:sz w:val="18"/>
              </w:rPr>
              <w:t>6/10 · 0.39</w:t>
            </w:r>
          </w:p>
        </w:tc>
      </w:tr>
      <w:tr>
        <w:tc>
          <w:tcPr>
            <w:tcW w:type="dxa" w:w="1872"/>
          </w:tcPr>
          <w:p>
            <w:r/>
            <w:r>
              <w:rPr>
                <w:sz w:val="18"/>
              </w:rPr>
              <w:t>stuart</w:t>
            </w:r>
          </w:p>
        </w:tc>
        <w:tc>
          <w:tcPr>
            <w:tcW w:type="dxa" w:w="1512"/>
          </w:tcPr>
          <w:p>
            <w:r/>
            <w:r>
              <w:rPr>
                <w:sz w:val="18"/>
              </w:rPr>
              <w:t>8/8 · 0.52</w:t>
            </w:r>
          </w:p>
        </w:tc>
        <w:tc>
          <w:tcPr>
            <w:tcW w:type="dxa" w:w="1512"/>
          </w:tcPr>
          <w:p>
            <w:r/>
            <w:r>
              <w:rPr>
                <w:sz w:val="18"/>
              </w:rPr>
              <w:t>8/8 · 0.30</w:t>
            </w:r>
          </w:p>
        </w:tc>
        <w:tc>
          <w:tcPr>
            <w:tcW w:type="dxa" w:w="1512"/>
          </w:tcPr>
          <w:p>
            <w:r/>
            <w:r>
              <w:rPr>
                <w:sz w:val="18"/>
              </w:rPr>
              <w:t>8/8 · 0.31</w:t>
            </w:r>
          </w:p>
        </w:tc>
        <w:tc>
          <w:tcPr>
            <w:tcW w:type="dxa" w:w="1512"/>
          </w:tcPr>
          <w:p>
            <w:r/>
            <w:r>
              <w:rPr>
                <w:sz w:val="18"/>
              </w:rPr>
              <w:t>7/8 · 0.21</w:t>
            </w:r>
          </w:p>
        </w:tc>
        <w:tc>
          <w:tcPr>
            <w:tcW w:type="dxa" w:w="1512"/>
          </w:tcPr>
          <w:p>
            <w:r/>
            <w:r>
              <w:rPr>
                <w:sz w:val="18"/>
              </w:rPr>
              <w:t>7/8 · 0.42</w:t>
            </w:r>
          </w:p>
        </w:tc>
      </w:tr>
      <w:tr>
        <w:tc>
          <w:tcPr>
            <w:tcW w:type="dxa" w:w="1872"/>
          </w:tcPr>
          <w:p>
            <w:r/>
            <w:r>
              <w:rPr>
                <w:sz w:val="18"/>
              </w:rPr>
              <w:t>mars</w:t>
            </w:r>
          </w:p>
        </w:tc>
        <w:tc>
          <w:tcPr>
            <w:tcW w:type="dxa" w:w="1512"/>
          </w:tcPr>
          <w:p>
            <w:r/>
            <w:r>
              <w:rPr>
                <w:sz w:val="18"/>
              </w:rPr>
              <w:t>5/5 · 0.56</w:t>
            </w:r>
          </w:p>
        </w:tc>
        <w:tc>
          <w:tcPr>
            <w:tcW w:type="dxa" w:w="1512"/>
          </w:tcPr>
          <w:p>
            <w:r/>
            <w:r>
              <w:rPr>
                <w:sz w:val="18"/>
              </w:rPr>
              <w:t>5/5 · 0.28</w:t>
            </w:r>
          </w:p>
        </w:tc>
        <w:tc>
          <w:tcPr>
            <w:tcW w:type="dxa" w:w="1512"/>
          </w:tcPr>
          <w:p>
            <w:r/>
            <w:r>
              <w:rPr>
                <w:sz w:val="18"/>
              </w:rPr>
              <w:t>5/5 · 0.42</w:t>
            </w:r>
          </w:p>
        </w:tc>
        <w:tc>
          <w:tcPr>
            <w:tcW w:type="dxa" w:w="1512"/>
          </w:tcPr>
          <w:p>
            <w:r/>
            <w:r>
              <w:rPr>
                <w:sz w:val="18"/>
              </w:rPr>
              <w:t>5/5 · 0.26</w:t>
            </w:r>
          </w:p>
        </w:tc>
        <w:tc>
          <w:tcPr>
            <w:tcW w:type="dxa" w:w="1512"/>
          </w:tcPr>
          <w:p>
            <w:r/>
            <w:r>
              <w:rPr>
                <w:sz w:val="18"/>
              </w:rPr>
              <w:t>4/5 · 0.53</w:t>
            </w:r>
          </w:p>
        </w:tc>
      </w:tr>
      <w:tr>
        <w:tc>
          <w:tcPr>
            <w:tcW w:type="dxa" w:w="1872"/>
          </w:tcPr>
          <w:p>
            <w:r/>
            <w:r>
              <w:rPr>
                <w:sz w:val="18"/>
              </w:rPr>
              <w:t>carl</w:t>
            </w:r>
          </w:p>
        </w:tc>
        <w:tc>
          <w:tcPr>
            <w:tcW w:type="dxa" w:w="1512"/>
          </w:tcPr>
          <w:p>
            <w:r/>
            <w:r>
              <w:rPr>
                <w:sz w:val="18"/>
              </w:rPr>
              <w:t>4/4 · 0.47</w:t>
            </w:r>
          </w:p>
        </w:tc>
        <w:tc>
          <w:tcPr>
            <w:tcW w:type="dxa" w:w="1512"/>
          </w:tcPr>
          <w:p>
            <w:r/>
            <w:r>
              <w:rPr>
                <w:sz w:val="18"/>
              </w:rPr>
              <w:t>4/4 · 0.38</w:t>
            </w:r>
          </w:p>
        </w:tc>
        <w:tc>
          <w:tcPr>
            <w:tcW w:type="dxa" w:w="1512"/>
          </w:tcPr>
          <w:p>
            <w:r/>
            <w:r>
              <w:rPr>
                <w:sz w:val="18"/>
              </w:rPr>
              <w:t>4/4 · 0.47</w:t>
            </w:r>
          </w:p>
        </w:tc>
        <w:tc>
          <w:tcPr>
            <w:tcW w:type="dxa" w:w="1512"/>
          </w:tcPr>
          <w:p>
            <w:r/>
            <w:r>
              <w:rPr>
                <w:sz w:val="18"/>
              </w:rPr>
              <w:t>4/4 · 0.39</w:t>
            </w:r>
          </w:p>
        </w:tc>
        <w:tc>
          <w:tcPr>
            <w:tcW w:type="dxa" w:w="1512"/>
          </w:tcPr>
          <w:p>
            <w:r/>
            <w:r>
              <w:rPr>
                <w:sz w:val="18"/>
              </w:rPr>
              <w:t>4/4 · 0.55</w:t>
            </w:r>
          </w:p>
        </w:tc>
      </w:tr>
      <w:tr>
        <w:tc>
          <w:tcPr>
            <w:tcW w:type="dxa" w:w="1872"/>
          </w:tcPr>
          <w:p>
            <w:r/>
            <w:r>
              <w:rPr>
                <w:sz w:val="18"/>
              </w:rPr>
              <w:t>josh</w:t>
            </w:r>
          </w:p>
        </w:tc>
        <w:tc>
          <w:tcPr>
            <w:tcW w:type="dxa" w:w="1512"/>
          </w:tcPr>
          <w:p>
            <w:r/>
            <w:r>
              <w:rPr>
                <w:sz w:val="18"/>
              </w:rPr>
              <w:t>4/4 · 0.46</w:t>
            </w:r>
          </w:p>
        </w:tc>
        <w:tc>
          <w:tcPr>
            <w:tcW w:type="dxa" w:w="1512"/>
          </w:tcPr>
          <w:p>
            <w:r/>
            <w:r>
              <w:rPr>
                <w:sz w:val="18"/>
              </w:rPr>
              <w:t>4/4 · 0.44</w:t>
            </w:r>
          </w:p>
        </w:tc>
        <w:tc>
          <w:tcPr>
            <w:tcW w:type="dxa" w:w="1512"/>
          </w:tcPr>
          <w:p>
            <w:r/>
            <w:r>
              <w:rPr>
                <w:sz w:val="18"/>
              </w:rPr>
              <w:t>4/4 · 0.46</w:t>
            </w:r>
          </w:p>
        </w:tc>
        <w:tc>
          <w:tcPr>
            <w:tcW w:type="dxa" w:w="1512"/>
          </w:tcPr>
          <w:p>
            <w:r/>
            <w:r>
              <w:rPr>
                <w:sz w:val="18"/>
              </w:rPr>
              <w:t>4/4 · 0.37</w:t>
            </w:r>
          </w:p>
        </w:tc>
        <w:tc>
          <w:tcPr>
            <w:tcW w:type="dxa" w:w="1512"/>
          </w:tcPr>
          <w:p>
            <w:r/>
            <w:r>
              <w:rPr>
                <w:sz w:val="18"/>
              </w:rPr>
              <w:t>4/4 · 0.56</w:t>
            </w:r>
          </w:p>
        </w:tc>
      </w:tr>
      <w:tr>
        <w:tc>
          <w:tcPr>
            <w:tcW w:type="dxa" w:w="1872"/>
          </w:tcPr>
          <w:p>
            <w:r/>
            <w:r>
              <w:rPr>
                <w:sz w:val="18"/>
              </w:rPr>
              <w:t>roger_rollins</w:t>
            </w:r>
          </w:p>
        </w:tc>
        <w:tc>
          <w:tcPr>
            <w:tcW w:type="dxa" w:w="1512"/>
          </w:tcPr>
          <w:p>
            <w:r/>
            <w:r>
              <w:rPr>
                <w:sz w:val="18"/>
              </w:rPr>
              <w:t>4/4 · 0.36</w:t>
            </w:r>
          </w:p>
        </w:tc>
        <w:tc>
          <w:tcPr>
            <w:tcW w:type="dxa" w:w="1512"/>
          </w:tcPr>
          <w:p>
            <w:r/>
            <w:r>
              <w:rPr>
                <w:sz w:val="18"/>
              </w:rPr>
              <w:t>4/4 · 0.31</w:t>
            </w:r>
          </w:p>
        </w:tc>
        <w:tc>
          <w:tcPr>
            <w:tcW w:type="dxa" w:w="1512"/>
          </w:tcPr>
          <w:p>
            <w:r/>
            <w:r>
              <w:rPr>
                <w:sz w:val="18"/>
              </w:rPr>
              <w:t>4/4 · 0.36</w:t>
            </w:r>
          </w:p>
        </w:tc>
        <w:tc>
          <w:tcPr>
            <w:tcW w:type="dxa" w:w="1512"/>
          </w:tcPr>
          <w:p>
            <w:r/>
            <w:r>
              <w:rPr>
                <w:sz w:val="18"/>
              </w:rPr>
              <w:t>4/4 · 0.19</w:t>
            </w:r>
          </w:p>
        </w:tc>
        <w:tc>
          <w:tcPr>
            <w:tcW w:type="dxa" w:w="1512"/>
          </w:tcPr>
          <w:p>
            <w:r/>
            <w:r>
              <w:rPr>
                <w:sz w:val="18"/>
              </w:rPr>
              <w:t>3/4 · 0.28</w:t>
            </w:r>
          </w:p>
        </w:tc>
      </w:tr>
      <w:tr>
        <w:tc>
          <w:tcPr>
            <w:tcW w:type="dxa" w:w="1872"/>
          </w:tcPr>
          <w:p>
            <w:r/>
            <w:r>
              <w:rPr>
                <w:sz w:val="18"/>
              </w:rPr>
              <w:t>sid</w:t>
            </w:r>
          </w:p>
        </w:tc>
        <w:tc>
          <w:tcPr>
            <w:tcW w:type="dxa" w:w="1512"/>
          </w:tcPr>
          <w:p>
            <w:r/>
            <w:r>
              <w:rPr>
                <w:sz w:val="18"/>
              </w:rPr>
              <w:t>4/4 · 0.52</w:t>
            </w:r>
          </w:p>
        </w:tc>
        <w:tc>
          <w:tcPr>
            <w:tcW w:type="dxa" w:w="1512"/>
          </w:tcPr>
          <w:p>
            <w:r/>
            <w:r>
              <w:rPr>
                <w:sz w:val="18"/>
              </w:rPr>
              <w:t>4/4 · 0.35</w:t>
            </w:r>
          </w:p>
        </w:tc>
        <w:tc>
          <w:tcPr>
            <w:tcW w:type="dxa" w:w="1512"/>
          </w:tcPr>
          <w:p>
            <w:r/>
            <w:r>
              <w:rPr>
                <w:sz w:val="18"/>
              </w:rPr>
              <w:t>4/4 · 0.52</w:t>
            </w:r>
          </w:p>
        </w:tc>
        <w:tc>
          <w:tcPr>
            <w:tcW w:type="dxa" w:w="1512"/>
          </w:tcPr>
          <w:p>
            <w:r/>
            <w:r>
              <w:rPr>
                <w:sz w:val="18"/>
              </w:rPr>
              <w:t>4/4 · 0.33</w:t>
            </w:r>
          </w:p>
        </w:tc>
        <w:tc>
          <w:tcPr>
            <w:tcW w:type="dxa" w:w="1512"/>
          </w:tcPr>
          <w:p>
            <w:r/>
            <w:r>
              <w:rPr>
                <w:sz w:val="18"/>
              </w:rPr>
              <w:t>4/4 · 0.48</w:t>
            </w:r>
          </w:p>
        </w:tc>
      </w:tr>
    </w:tbl>
    <w:p>
      <w:pPr>
        <w:spacing w:after="0"/>
      </w:pPr>
    </w:p>
    <w:p>
      <w:pPr>
        <w:jc w:val="center"/>
      </w:pPr>
      <w:r>
        <w:drawing>
          <wp:inline xmlns:a="http://schemas.openxmlformats.org/drawingml/2006/main" xmlns:pic="http://schemas.openxmlformats.org/drawingml/2006/picture">
            <wp:extent cx="6126480" cy="2675291"/>
            <wp:docPr id="2" name="Picture 2"/>
            <wp:cNvGraphicFramePr>
              <a:graphicFrameLocks noChangeAspect="1"/>
            </wp:cNvGraphicFramePr>
            <a:graphic>
              <a:graphicData uri="http://schemas.openxmlformats.org/drawingml/2006/picture">
                <pic:pic>
                  <pic:nvPicPr>
                    <pic:cNvPr id="0" name="r8_fig2_per_child_position.png"/>
                    <pic:cNvPicPr/>
                  </pic:nvPicPr>
                  <pic:blipFill>
                    <a:blip r:embed="rId10"/>
                    <a:stretch>
                      <a:fillRect/>
                    </a:stretch>
                  </pic:blipFill>
                  <pic:spPr>
                    <a:xfrm>
                      <a:off x="0" y="0"/>
                      <a:ext cx="6126480" cy="2675291"/>
                    </a:xfrm>
                    <a:prstGeom prst="rect"/>
                  </pic:spPr>
                </pic:pic>
              </a:graphicData>
            </a:graphic>
          </wp:inline>
        </w:drawing>
      </w:r>
    </w:p>
    <w:p>
      <w:r>
        <w:rPr>
          <w:b/>
          <w:sz w:val="19"/>
        </w:rPr>
        <w:t xml:space="preserve">Figure 2. </w:t>
      </w:r>
      <w:r>
        <w:rPr>
          <w:sz w:val="19"/>
        </w:rPr>
        <w:t>Mean relative session position per child. Grey circles are all segmented episodes; the universes and samples sit to the left, most strongly for the Flusberg children with long records.</w:t>
      </w:r>
    </w:p>
    <w:p>
      <w:pPr>
        <w:spacing w:before="160" w:after="40"/>
      </w:pPr>
      <w:r>
        <w:rPr>
          <w:b/>
          <w:color w:val="1F2933"/>
          <w:sz w:val="21"/>
        </w:rPr>
        <w:t>Supporting argument</w:t>
      </w:r>
    </w:p>
    <w:p>
      <w:pPr>
        <w:pStyle w:val="ListBullet"/>
      </w:pPr>
      <w:r>
        <w:rPr>
          <w:b/>
        </w:rPr>
        <w:t>Mechanism, as the reviewer describes.</w:t>
      </w:r>
      <w:r>
        <w:rPr/>
        <w:t xml:space="preserve"> Within each child × episode-type stratum the builder keeps episodes in transcript order until the per-type allocation is reached (</w:t>
      </w:r>
      <w:r>
        <w:rPr>
          <w:rFonts w:ascii="Consolas" w:hAnsi="Consolas"/>
          <w:sz w:val="18"/>
        </w:rPr>
        <w:t>data/pipeline/select_segments.py</w:t>
      </w:r>
      <w:r>
        <w:rPr/>
        <w:t xml:space="preserve">, </w:t>
      </w:r>
      <w:r>
        <w:rPr>
          <w:rFonts w:ascii="Consolas" w:hAnsi="Consolas"/>
          <w:sz w:val="18"/>
        </w:rPr>
        <w:t>_select_for_child</w:t>
      </w:r>
      <w:r>
        <w:rPr/>
        <w:t>). Where a type has more episodes than its allocation, later sessions are cut. Children with long records (brett, jack, mark, rick, roger_flusberg, stuart) lose the most, including whole sessions.</w:t>
      </w:r>
    </w:p>
    <w:p>
      <w:pPr>
        <w:pStyle w:val="ListBullet"/>
      </w:pPr>
      <w:r>
        <w:rPr>
          <w:b/>
        </w:rPr>
        <w:t>Why the 121 is later than its universe (0.39 vs 0.34).</w:t>
      </w:r>
      <w:r>
        <w:rPr/>
        <w:t xml:space="preserve"> The frozen set was drawn at random from the 3,371 universe after pool episodes were removed, and the pool is itself early-heavy (mean 0.28), so removing it leaves a later frame.</w:t>
      </w:r>
    </w:p>
    <w:p>
      <w:pPr>
        <w:pStyle w:val="ListBullet"/>
      </w:pPr>
      <w:r>
        <w:rPr>
          <w:b/>
        </w:rPr>
        <w:t>What this does and does not imply.</w:t>
      </w:r>
      <w:r>
        <w:rPr/>
        <w:t xml:space="preserve"> It characterises which part of each child's record the estimates describe. It does not by itself show that extraction agreement differs by session position; that was not tested, and no model was run. It adds a further documented difference between the main and evaluation branches, consistent with the manuscript's existing refusal to attribute the between-branch difference to any single cause.</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(Sections 2.12–2.13, Results, and 4.9)</w:t>
            </w:r>
          </w:p>
          <w:p>
            <w:r>
              <w:rPr>
                <w:b/>
              </w:rPr>
              <w:t>Methods 2.12 (add):</w:t>
            </w:r>
            <w:r>
              <w:rPr/>
              <w:t xml:space="preserve"> "Because the universe builder retains episodes in transcript order within each child × episode-type stratum, we characterised longitudinal coverage: each child's sessions were ordered by age, and each episode was assigned its session's relative position (0 = first visit, 1 = last)."</w:t>
            </w:r>
          </w:p>
          <w:p>
            <w:r>
              <w:rPr>
                <w:b/>
              </w:rPr>
              <w:t>Results (add):</w:t>
            </w:r>
            <w:r>
              <w:rPr/>
              <w:t xml:space="preserve"> "All segmented episodes had mean relative session position 0.50. The 2,442-segment universe was enriched for early sessions (mean 0.28; 52.5% of segments in the earliest quarter of each child's record; 70 of 85 sessions represented), and the 3,371-segment universe less so (mean 0.34; 84 of 85 sessions). The main batch (mean 0.27) and the post-audit evaluation set (mean 0.39) therefore differ in longitudinal reach as well as in universe (Table X). The enrichment was largest in children with eight or more sessions."</w:t>
            </w:r>
          </w:p>
          <w:p>
            <w:r>
              <w:rPr>
                <w:b/>
              </w:rPr>
              <w:t>Limitations 4.9 (add):</w:t>
            </w:r>
            <w:r>
              <w:rPr/>
              <w:t xml:space="preserve"> "Both universes over-represent each child's earlier sessions, the lower-cap universe markedly so, because episodes were retained in transcript order within strata. Estimates therefore describe earlier visits more than later ones, and the main and evaluation branches differ in longitudinal coverage. Whether extraction agreement varies with session position was not tested."</w:t>
            </w:r>
          </w:p>
        </w:tc>
      </w:tr>
    </w:tbl>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Decision for the authors</w:t>
            </w:r>
          </w:p>
          <w:p>
            <w:r>
              <w:rPr/>
              <w:t>The reviewer asks for a new model experiment only if the diagnostic shows a substantial imbalance. The skew in the 2,442 universe is large. Options, none taken here: (a) acknowledge in Limitations only, as drafted above; (b) additionally stratify the existing scored outputs (330 and 121) by session position — no model run, no redraw — to show whether agreement differs between earlier and later sessions.</w:t>
            </w:r>
          </w:p>
        </w:tc>
      </w:tr>
    </w:tbl>
    <w:p/>
    <w:p>
      <w:r>
        <w:br w:type="page"/>
      </w:r>
    </w:p>
    <w:p>
      <w:pPr>
        <w:pStyle w:val="Heading1"/>
      </w:pPr>
      <w:r>
        <w:t>R8-2  ·  Minor / Moderate  ·  Chronology of the generative-report governance validator should be stated</w:t>
      </w:r>
    </w:p>
    <w:p>
      <w:pPr>
        <w:spacing w:before="160" w:after="40"/>
      </w:pPr>
      <w:r>
        <w:rPr>
          <w:b/>
          <w:color w:val="1F2933"/>
          <w:sz w:val="21"/>
        </w:rPr>
        <w:t>The comment, as written</w:t>
      </w:r>
    </w:p>
    <w:p>
      <w:pPr>
        <w:spacing w:after="60"/>
        <w:ind w:left="240"/>
      </w:pPr>
      <w:r>
        <w:rPr>
          <w:b/>
          <w:color w:val="2A4E7A"/>
        </w:rPr>
        <w:t xml:space="preserve">Location: </w:t>
      </w:r>
      <w:r>
        <w:rPr>
          <w:color w:val="2A4E7A"/>
        </w:rPr>
        <w:t>Sections 2.19, 3.6, and 4.6</w:t>
      </w:r>
    </w:p>
    <w:p>
      <w:pPr>
        <w:spacing w:after="60"/>
        <w:ind w:left="240"/>
      </w:pPr>
      <w:r>
        <w:rPr>
          <w:b/>
          <w:color w:val="2A4E7A"/>
        </w:rPr>
        <w:t xml:space="preserve">Reviewer concern: </w:t>
      </w:r>
      <w:r>
        <w:rPr>
          <w:color w:val="2A4E7A"/>
        </w:rPr>
        <w:t>The 0/11 generative-report governance result is scientifically important because it directly motivated removal of generative reporting from the operational path. The validator is now well defined, but the manuscript does not state whether the four pass/fail criteria were fixed before generating or inspecting the 11 reports, or whether some criteria were formalized after reviewing the outputs.</w:t>
      </w:r>
    </w:p>
    <w:p>
      <w:pPr>
        <w:spacing w:after="60"/>
        <w:ind w:left="240"/>
      </w:pPr>
      <w:r>
        <w:rPr>
          <w:b/>
          <w:color w:val="2A4E7A"/>
        </w:rPr>
        <w:t xml:space="preserve">Required action: </w:t>
      </w:r>
      <w:r>
        <w:rPr>
          <w:color w:val="2A4E7A"/>
        </w:rPr>
        <w:t>Add one sentence specifying the chronology. If the validator and criteria were frozen before report generation/evaluation, state that explicitly and preferably identify the corresponding artifact or version. If they were formalized after reviewing the reports, describe the experiment as a formative or post-hoc governance evaluation rather than implying prospectively fixed acceptance criteria. No new generative run is required.</w:t>
      </w:r>
    </w:p>
    <w:p>
      <w:pPr>
        <w:spacing w:after="60"/>
        <w:ind w:left="240"/>
      </w:pPr>
      <w:r>
        <w:rPr>
          <w:b/>
          <w:color w:val="2A4E7A"/>
        </w:rPr>
        <w:t xml:space="preserve">Status: </w:t>
      </w:r>
      <w:r>
        <w:rPr>
          <w:color w:val="2A4E7A"/>
        </w:rPr>
        <w:t>Open</w:t>
      </w:r>
    </w:p>
    <w:p>
      <w:pPr>
        <w:pStyle w:val="Heading2"/>
      </w:pPr>
      <w:r>
        <w:t>Response</w:t>
      </w:r>
    </w:p>
    <w:p>
      <w:pPr>
        <w:spacing w:before="160" w:after="40"/>
      </w:pPr>
      <w:r>
        <w:rPr>
          <w:b/>
          <w:color w:val="1F2933"/>
          <w:sz w:val="21"/>
        </w:rPr>
        <w:t>Short answer</w:t>
      </w:r>
    </w:p>
    <w:p>
      <w:pPr>
        <w:ind w:left="200"/>
        <w:pBdr>
          <w:left w:val="single" w:sz="18" w:space="8" w:color="1BAF7A"/>
        </w:pBdr>
      </w:pPr>
      <w:r>
        <w:rPr>
          <w:b/>
        </w:rPr>
        <w:t>The criteria were fixed in version-controlled code before any of the 11 model-generated reports was recorded, and were not changed afterwards.</w:t>
      </w:r>
      <w:r>
        <w:rPr/>
        <w:t xml:space="preserve"> The governance validator </w:t>
      </w:r>
      <w:r>
        <w:rPr>
          <w:rFonts w:ascii="Consolas" w:hAnsi="Consolas"/>
          <w:sz w:val="18"/>
        </w:rPr>
        <w:t>validate_report</w:t>
      </w:r>
      <w:r>
        <w:rPr/>
        <w:t xml:space="preserve"> (</w:t>
      </w:r>
      <w:r>
        <w:rPr>
          <w:rFonts w:ascii="Consolas" w:hAnsi="Consolas"/>
          <w:sz w:val="18"/>
        </w:rPr>
        <w:t>src/backend/ml/reporting_client.py</w:t>
      </w:r>
      <w:r>
        <w:rPr/>
        <w:t>) was committed on 25 Aug 2026 (75eb1d5) and its logic is unchanged in every later commit. The grounding scorer (</w:t>
      </w:r>
      <w:r>
        <w:rPr>
          <w:rFonts w:ascii="Consolas" w:hAnsi="Consolas"/>
          <w:sz w:val="18"/>
        </w:rPr>
        <w:t>tests/eval/reporting/groundedness.py</w:t>
      </w:r>
      <w:r>
        <w:rPr/>
        <w:t>) was committed on 16 Sep 2026 (7a4b725); the report file recorded in that same commit contains 0 model-generated reports (all 11 were deterministic fallbacks), so no model prose had been scored when the scorer was fixed. The 11 model-generated reports were first recorded on 17 Sep 2026 (9ecc330), 0/11 passing; that commit changed only how totals are summed and printed.</w:t>
      </w:r>
    </w:p>
    <w:p>
      <w:pPr>
        <w:keepNext/>
        <w:spacing w:before="120"/>
      </w:pPr>
      <w:r>
        <w:rPr>
          <w:b/>
          <w:sz w:val="19"/>
        </w:rPr>
        <w:t xml:space="preserve">Table 4. </w:t>
      </w:r>
      <w:r>
        <w:rPr>
          <w:sz w:val="19"/>
        </w:rPr>
        <w:t xml:space="preserve">What each criterion is, where it is implemented, and when its logic entered version control. Source: </w:t>
      </w:r>
      <w:r>
        <w:rPr>
          <w:rFonts w:ascii="Consolas" w:hAnsi="Consolas"/>
          <w:sz w:val="19"/>
        </w:rPr>
        <w:t>round8_analysis.json</w:t>
      </w:r>
      <w:r>
        <w:rPr>
          <w:sz w:val="19"/>
        </w:rPr>
        <w:t xml:space="preserve"> (validator_timeline).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shd w:val="clear" w:color="auto" w:fill="E8EEF6"/>
          </w:tcPr>
          <w:p>
            <w:r/>
            <w:r>
              <w:rPr>
                <w:b/>
                <w:sz w:val="18"/>
              </w:rPr>
              <w:t>Criterion</w:t>
            </w:r>
          </w:p>
        </w:tc>
        <w:tc>
          <w:tcPr>
            <w:tcW w:type="dxa" w:w="3744"/>
            <w:shd w:val="clear" w:color="auto" w:fill="E8EEF6"/>
          </w:tcPr>
          <w:p>
            <w:r/>
            <w:r>
              <w:rPr>
                <w:b/>
                <w:sz w:val="18"/>
              </w:rPr>
              <w:t>Pass/fail rule</w:t>
            </w:r>
          </w:p>
        </w:tc>
        <w:tc>
          <w:tcPr>
            <w:tcW w:type="dxa" w:w="1584"/>
            <w:shd w:val="clear" w:color="auto" w:fill="E8EEF6"/>
          </w:tcPr>
          <w:p>
            <w:r/>
            <w:r>
              <w:rPr>
                <w:b/>
                <w:sz w:val="18"/>
              </w:rPr>
              <w:t>Implemented in</w:t>
            </w:r>
          </w:p>
        </w:tc>
        <w:tc>
          <w:tcPr>
            <w:tcW w:type="dxa" w:w="2016"/>
            <w:shd w:val="clear" w:color="auto" w:fill="E8EEF6"/>
          </w:tcPr>
          <w:p>
            <w:r/>
            <w:r>
              <w:rPr>
                <w:b/>
                <w:sz w:val="18"/>
              </w:rPr>
              <w:t>Logic fixed</w:t>
            </w:r>
          </w:p>
        </w:tc>
      </w:tr>
      <w:tr>
        <w:tc>
          <w:tcPr>
            <w:tcW w:type="dxa" w:w="2304"/>
          </w:tcPr>
          <w:p>
            <w:r/>
            <w:r>
              <w:rPr>
                <w:sz w:val="18"/>
              </w:rPr>
              <w:t>Prohibited content</w:t>
            </w:r>
          </w:p>
        </w:tc>
        <w:tc>
          <w:tcPr>
            <w:tcW w:type="dxa" w:w="3744"/>
          </w:tcPr>
          <w:p>
            <w:r/>
            <w:r>
              <w:rPr>
                <w:sz w:val="18"/>
              </w:rPr>
              <w:t>no diagnostic, treatment, causal or prognostic pattern in the prose</w:t>
            </w:r>
          </w:p>
        </w:tc>
        <w:tc>
          <w:tcPr>
            <w:tcW w:type="dxa" w:w="1584"/>
          </w:tcPr>
          <w:p>
            <w:r/>
            <w:r>
              <w:rPr>
                <w:sz w:val="18"/>
              </w:rPr>
              <w:t>validate_report</w:t>
            </w:r>
          </w:p>
        </w:tc>
        <w:tc>
          <w:tcPr>
            <w:tcW w:type="dxa" w:w="2016"/>
          </w:tcPr>
          <w:p>
            <w:r/>
            <w:r>
              <w:rPr>
                <w:sz w:val="18"/>
              </w:rPr>
              <w:t>25 Aug 2026 (75eb1d5)</w:t>
            </w:r>
          </w:p>
        </w:tc>
      </w:tr>
      <w:tr>
        <w:tc>
          <w:tcPr>
            <w:tcW w:type="dxa" w:w="2304"/>
          </w:tcPr>
          <w:p>
            <w:r/>
            <w:r>
              <w:rPr>
                <w:sz w:val="18"/>
              </w:rPr>
              <w:t>Abstention / governance preservation</w:t>
            </w:r>
          </w:p>
        </w:tc>
        <w:tc>
          <w:tcPr>
            <w:tcW w:type="dxa" w:w="3744"/>
          </w:tcPr>
          <w:p>
            <w:r/>
            <w:r>
              <w:rPr>
                <w:sz w:val="18"/>
              </w:rPr>
              <w:t>every withheld metric (and insufficient evidence) acknowledged</w:t>
            </w:r>
          </w:p>
        </w:tc>
        <w:tc>
          <w:tcPr>
            <w:tcW w:type="dxa" w:w="1584"/>
          </w:tcPr>
          <w:p>
            <w:r/>
            <w:r>
              <w:rPr>
                <w:sz w:val="18"/>
              </w:rPr>
              <w:t>validate_report</w:t>
            </w:r>
          </w:p>
        </w:tc>
        <w:tc>
          <w:tcPr>
            <w:tcW w:type="dxa" w:w="2016"/>
          </w:tcPr>
          <w:p>
            <w:r/>
            <w:r>
              <w:rPr>
                <w:sz w:val="18"/>
              </w:rPr>
              <w:t>25 Aug 2026 (75eb1d5)</w:t>
            </w:r>
          </w:p>
        </w:tc>
      </w:tr>
      <w:tr>
        <w:tc>
          <w:tcPr>
            <w:tcW w:type="dxa" w:w="2304"/>
          </w:tcPr>
          <w:p>
            <w:r/>
            <w:r>
              <w:rPr>
                <w:sz w:val="18"/>
              </w:rPr>
              <w:t>Numeric grounding</w:t>
            </w:r>
          </w:p>
        </w:tc>
        <w:tc>
          <w:tcPr>
            <w:tcW w:type="dxa" w:w="3744"/>
          </w:tcPr>
          <w:p>
            <w:r/>
            <w:r>
              <w:rPr>
                <w:sz w:val="18"/>
              </w:rPr>
              <w:t>every number in the prose appears in the evidence packet at printed precision</w:t>
            </w:r>
          </w:p>
        </w:tc>
        <w:tc>
          <w:tcPr>
            <w:tcW w:type="dxa" w:w="1584"/>
          </w:tcPr>
          <w:p>
            <w:r/>
            <w:r>
              <w:rPr>
                <w:sz w:val="18"/>
              </w:rPr>
              <w:t>groundedness.py</w:t>
            </w:r>
          </w:p>
        </w:tc>
        <w:tc>
          <w:tcPr>
            <w:tcW w:type="dxa" w:w="2016"/>
          </w:tcPr>
          <w:p>
            <w:r/>
            <w:r>
              <w:rPr>
                <w:sz w:val="18"/>
              </w:rPr>
              <w:t>16 Sep 2026 (7a4b725)</w:t>
            </w:r>
          </w:p>
        </w:tc>
      </w:tr>
      <w:tr>
        <w:tc>
          <w:tcPr>
            <w:tcW w:type="dxa" w:w="2304"/>
          </w:tcPr>
          <w:p>
            <w:r/>
            <w:r>
              <w:rPr>
                <w:sz w:val="18"/>
              </w:rPr>
              <w:t>Evidence-reference validity</w:t>
            </w:r>
          </w:p>
        </w:tc>
        <w:tc>
          <w:tcPr>
            <w:tcW w:type="dxa" w:w="3744"/>
          </w:tcPr>
          <w:p>
            <w:r/>
            <w:r>
              <w:rPr>
                <w:sz w:val="18"/>
              </w:rPr>
              <w:t>every cited record ID exists in the packet</w:t>
            </w:r>
          </w:p>
        </w:tc>
        <w:tc>
          <w:tcPr>
            <w:tcW w:type="dxa" w:w="1584"/>
          </w:tcPr>
          <w:p>
            <w:r/>
            <w:r>
              <w:rPr>
                <w:sz w:val="18"/>
              </w:rPr>
              <w:t>groundedness.py</w:t>
            </w:r>
          </w:p>
        </w:tc>
        <w:tc>
          <w:tcPr>
            <w:tcW w:type="dxa" w:w="2016"/>
          </w:tcPr>
          <w:p>
            <w:r/>
            <w:r>
              <w:rPr>
                <w:sz w:val="18"/>
              </w:rPr>
              <w:t>16 Sep 2026 (7a4b725)</w:t>
            </w:r>
          </w:p>
        </w:tc>
      </w:tr>
    </w:tbl>
    <w:p>
      <w:pPr>
        <w:spacing w:after="0"/>
      </w:pPr>
    </w:p>
    <w:p>
      <w:pPr>
        <w:keepNext/>
        <w:spacing w:before="120"/>
      </w:pPr>
      <w:r>
        <w:rPr>
          <w:b/>
          <w:sz w:val="19"/>
        </w:rPr>
        <w:t xml:space="preserve">Table 5. </w:t>
      </w:r>
      <w:r>
        <w:rPr>
          <w:sz w:val="19"/>
        </w:rPr>
        <w:t>Every commit touching the validator, the scorer or the recorded result. 'Logic changed' ignores comment lines.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shd w:val="clear" w:color="auto" w:fill="E8EEF6"/>
          </w:tcPr>
          <w:p>
            <w:r/>
            <w:r>
              <w:rPr>
                <w:b/>
                <w:sz w:val="18"/>
              </w:rPr>
              <w:t>Artefact</w:t>
            </w:r>
          </w:p>
        </w:tc>
        <w:tc>
          <w:tcPr>
            <w:tcW w:type="dxa" w:w="1296"/>
            <w:shd w:val="clear" w:color="auto" w:fill="E8EEF6"/>
          </w:tcPr>
          <w:p>
            <w:r/>
            <w:r>
              <w:rPr>
                <w:b/>
                <w:sz w:val="18"/>
              </w:rPr>
              <w:t>Commit</w:t>
            </w:r>
          </w:p>
        </w:tc>
        <w:tc>
          <w:tcPr>
            <w:tcW w:type="dxa" w:w="1872"/>
            <w:shd w:val="clear" w:color="auto" w:fill="E8EEF6"/>
          </w:tcPr>
          <w:p>
            <w:r/>
            <w:r>
              <w:rPr>
                <w:b/>
                <w:sz w:val="18"/>
              </w:rPr>
              <w:t>Date</w:t>
            </w:r>
          </w:p>
        </w:tc>
        <w:tc>
          <w:tcPr>
            <w:tcW w:type="dxa" w:w="4176"/>
            <w:shd w:val="clear" w:color="auto" w:fill="E8EEF6"/>
          </w:tcPr>
          <w:p>
            <w:r/>
            <w:r>
              <w:rPr>
                <w:b/>
                <w:sz w:val="18"/>
              </w:rPr>
              <w:t>Logic changed / content</w:t>
            </w:r>
          </w:p>
        </w:tc>
      </w:tr>
      <w:tr>
        <w:tc>
          <w:tcPr>
            <w:tcW w:type="dxa" w:w="2304"/>
          </w:tcPr>
          <w:p>
            <w:r/>
            <w:r>
              <w:rPr>
                <w:sz w:val="18"/>
              </w:rPr>
              <w:t>validate_report</w:t>
            </w:r>
          </w:p>
        </w:tc>
        <w:tc>
          <w:tcPr>
            <w:tcW w:type="dxa" w:w="1296"/>
          </w:tcPr>
          <w:p>
            <w:r/>
            <w:r>
              <w:rPr>
                <w:sz w:val="18"/>
              </w:rPr>
              <w:t>75eb1d5</w:t>
            </w:r>
          </w:p>
        </w:tc>
        <w:tc>
          <w:tcPr>
            <w:tcW w:type="dxa" w:w="1872"/>
          </w:tcPr>
          <w:p>
            <w:r/>
            <w:r>
              <w:rPr>
                <w:sz w:val="18"/>
              </w:rPr>
              <w:t>25 Aug 2026</w:t>
            </w:r>
          </w:p>
        </w:tc>
        <w:tc>
          <w:tcPr>
            <w:tcW w:type="dxa" w:w="4176"/>
          </w:tcPr>
          <w:p>
            <w:r/>
            <w:r>
              <w:rPr>
                <w:sz w:val="18"/>
              </w:rPr>
              <w:t>yes</w:t>
            </w:r>
          </w:p>
        </w:tc>
      </w:tr>
      <w:tr>
        <w:tc>
          <w:tcPr>
            <w:tcW w:type="dxa" w:w="2304"/>
          </w:tcPr>
          <w:p>
            <w:r/>
            <w:r>
              <w:rPr>
                <w:sz w:val="18"/>
              </w:rPr>
              <w:t>validate_report</w:t>
            </w:r>
          </w:p>
        </w:tc>
        <w:tc>
          <w:tcPr>
            <w:tcW w:type="dxa" w:w="1296"/>
          </w:tcPr>
          <w:p>
            <w:r/>
            <w:r>
              <w:rPr>
                <w:sz w:val="18"/>
              </w:rPr>
              <w:t>f9a53c6</w:t>
            </w:r>
          </w:p>
        </w:tc>
        <w:tc>
          <w:tcPr>
            <w:tcW w:type="dxa" w:w="1872"/>
          </w:tcPr>
          <w:p>
            <w:r/>
            <w:r>
              <w:rPr>
                <w:sz w:val="18"/>
              </w:rPr>
              <w:t>26 Aug 2026</w:t>
            </w:r>
          </w:p>
        </w:tc>
        <w:tc>
          <w:tcPr>
            <w:tcW w:type="dxa" w:w="4176"/>
          </w:tcPr>
          <w:p>
            <w:r/>
            <w:r>
              <w:rPr>
                <w:sz w:val="18"/>
              </w:rPr>
              <w:t>no</w:t>
            </w:r>
          </w:p>
        </w:tc>
      </w:tr>
      <w:tr>
        <w:tc>
          <w:tcPr>
            <w:tcW w:type="dxa" w:w="2304"/>
          </w:tcPr>
          <w:p>
            <w:r/>
            <w:r>
              <w:rPr>
                <w:sz w:val="18"/>
              </w:rPr>
              <w:t>validate_report</w:t>
            </w:r>
          </w:p>
        </w:tc>
        <w:tc>
          <w:tcPr>
            <w:tcW w:type="dxa" w:w="1296"/>
          </w:tcPr>
          <w:p>
            <w:r/>
            <w:r>
              <w:rPr>
                <w:sz w:val="18"/>
              </w:rPr>
              <w:t>dc46399</w:t>
            </w:r>
          </w:p>
        </w:tc>
        <w:tc>
          <w:tcPr>
            <w:tcW w:type="dxa" w:w="1872"/>
          </w:tcPr>
          <w:p>
            <w:r/>
            <w:r>
              <w:rPr>
                <w:sz w:val="18"/>
              </w:rPr>
              <w:t>27 Aug 2026</w:t>
            </w:r>
          </w:p>
        </w:tc>
        <w:tc>
          <w:tcPr>
            <w:tcW w:type="dxa" w:w="4176"/>
          </w:tcPr>
          <w:p>
            <w:r/>
            <w:r>
              <w:rPr>
                <w:sz w:val="18"/>
              </w:rPr>
              <w:t>no</w:t>
            </w:r>
          </w:p>
        </w:tc>
      </w:tr>
      <w:tr>
        <w:tc>
          <w:tcPr>
            <w:tcW w:type="dxa" w:w="2304"/>
          </w:tcPr>
          <w:p>
            <w:r/>
            <w:r>
              <w:rPr>
                <w:sz w:val="18"/>
              </w:rPr>
              <w:t>validate_report</w:t>
            </w:r>
          </w:p>
        </w:tc>
        <w:tc>
          <w:tcPr>
            <w:tcW w:type="dxa" w:w="1296"/>
          </w:tcPr>
          <w:p>
            <w:r/>
            <w:r>
              <w:rPr>
                <w:sz w:val="18"/>
              </w:rPr>
              <w:t>fa11861</w:t>
            </w:r>
          </w:p>
        </w:tc>
        <w:tc>
          <w:tcPr>
            <w:tcW w:type="dxa" w:w="1872"/>
          </w:tcPr>
          <w:p>
            <w:r/>
            <w:r>
              <w:rPr>
                <w:sz w:val="18"/>
              </w:rPr>
              <w:t>28 Aug 2026</w:t>
            </w:r>
          </w:p>
        </w:tc>
        <w:tc>
          <w:tcPr>
            <w:tcW w:type="dxa" w:w="4176"/>
          </w:tcPr>
          <w:p>
            <w:r/>
            <w:r>
              <w:rPr>
                <w:sz w:val="18"/>
              </w:rPr>
              <w:t>no</w:t>
            </w:r>
          </w:p>
        </w:tc>
      </w:tr>
      <w:tr>
        <w:tc>
          <w:tcPr>
            <w:tcW w:type="dxa" w:w="2304"/>
          </w:tcPr>
          <w:p>
            <w:r/>
            <w:r>
              <w:rPr>
                <w:sz w:val="18"/>
              </w:rPr>
              <w:t>validate_report</w:t>
            </w:r>
          </w:p>
        </w:tc>
        <w:tc>
          <w:tcPr>
            <w:tcW w:type="dxa" w:w="1296"/>
          </w:tcPr>
          <w:p>
            <w:r/>
            <w:r>
              <w:rPr>
                <w:sz w:val="18"/>
              </w:rPr>
              <w:t>f8eded1</w:t>
            </w:r>
          </w:p>
        </w:tc>
        <w:tc>
          <w:tcPr>
            <w:tcW w:type="dxa" w:w="1872"/>
          </w:tcPr>
          <w:p>
            <w:r/>
            <w:r>
              <w:rPr>
                <w:sz w:val="18"/>
              </w:rPr>
              <w:t>7 Sep 2026</w:t>
            </w:r>
          </w:p>
        </w:tc>
        <w:tc>
          <w:tcPr>
            <w:tcW w:type="dxa" w:w="4176"/>
          </w:tcPr>
          <w:p>
            <w:r/>
            <w:r>
              <w:rPr>
                <w:sz w:val="18"/>
              </w:rPr>
              <w:t>no</w:t>
            </w:r>
          </w:p>
        </w:tc>
      </w:tr>
      <w:tr>
        <w:tc>
          <w:tcPr>
            <w:tcW w:type="dxa" w:w="2304"/>
          </w:tcPr>
          <w:p>
            <w:r/>
            <w:r>
              <w:rPr>
                <w:sz w:val="18"/>
              </w:rPr>
              <w:t>validate_report</w:t>
            </w:r>
          </w:p>
        </w:tc>
        <w:tc>
          <w:tcPr>
            <w:tcW w:type="dxa" w:w="1296"/>
          </w:tcPr>
          <w:p>
            <w:r/>
            <w:r>
              <w:rPr>
                <w:sz w:val="18"/>
              </w:rPr>
              <w:t>9ecc330</w:t>
            </w:r>
          </w:p>
        </w:tc>
        <w:tc>
          <w:tcPr>
            <w:tcW w:type="dxa" w:w="1872"/>
          </w:tcPr>
          <w:p>
            <w:r/>
            <w:r>
              <w:rPr>
                <w:sz w:val="18"/>
              </w:rPr>
              <w:t>17 Sep 2026</w:t>
            </w:r>
          </w:p>
        </w:tc>
        <w:tc>
          <w:tcPr>
            <w:tcW w:type="dxa" w:w="4176"/>
          </w:tcPr>
          <w:p>
            <w:r/>
            <w:r>
              <w:rPr>
                <w:sz w:val="18"/>
              </w:rPr>
              <w:t>no</w:t>
            </w:r>
          </w:p>
        </w:tc>
      </w:tr>
      <w:tr>
        <w:tc>
          <w:tcPr>
            <w:tcW w:type="dxa" w:w="2304"/>
          </w:tcPr>
          <w:p>
            <w:r/>
            <w:r>
              <w:rPr>
                <w:sz w:val="18"/>
              </w:rPr>
              <w:t>validate_report</w:t>
            </w:r>
          </w:p>
        </w:tc>
        <w:tc>
          <w:tcPr>
            <w:tcW w:type="dxa" w:w="1296"/>
          </w:tcPr>
          <w:p>
            <w:r/>
            <w:r>
              <w:rPr>
                <w:sz w:val="18"/>
              </w:rPr>
              <w:t>63a73a6</w:t>
            </w:r>
          </w:p>
        </w:tc>
        <w:tc>
          <w:tcPr>
            <w:tcW w:type="dxa" w:w="1872"/>
          </w:tcPr>
          <w:p>
            <w:r/>
            <w:r>
              <w:rPr>
                <w:sz w:val="18"/>
              </w:rPr>
              <w:t>21 Sep 2026</w:t>
            </w:r>
          </w:p>
        </w:tc>
        <w:tc>
          <w:tcPr>
            <w:tcW w:type="dxa" w:w="4176"/>
          </w:tcPr>
          <w:p>
            <w:r/>
            <w:r>
              <w:rPr>
                <w:sz w:val="18"/>
              </w:rPr>
              <w:t>no</w:t>
            </w:r>
          </w:p>
        </w:tc>
      </w:tr>
      <w:tr>
        <w:tc>
          <w:tcPr>
            <w:tcW w:type="dxa" w:w="2304"/>
          </w:tcPr>
          <w:p>
            <w:r/>
            <w:r>
              <w:rPr>
                <w:sz w:val="18"/>
              </w:rPr>
              <w:t>grounding scorer</w:t>
            </w:r>
          </w:p>
        </w:tc>
        <w:tc>
          <w:tcPr>
            <w:tcW w:type="dxa" w:w="1296"/>
          </w:tcPr>
          <w:p>
            <w:r/>
            <w:r>
              <w:rPr>
                <w:sz w:val="18"/>
              </w:rPr>
              <w:t>7a4b725</w:t>
            </w:r>
          </w:p>
        </w:tc>
        <w:tc>
          <w:tcPr>
            <w:tcW w:type="dxa" w:w="1872"/>
          </w:tcPr>
          <w:p>
            <w:r/>
            <w:r>
              <w:rPr>
                <w:sz w:val="18"/>
              </w:rPr>
              <w:t>16 Sep 2026</w:t>
            </w:r>
          </w:p>
        </w:tc>
        <w:tc>
          <w:tcPr>
            <w:tcW w:type="dxa" w:w="4176"/>
          </w:tcPr>
          <w:p>
            <w:r/>
            <w:r>
              <w:rPr>
                <w:sz w:val="18"/>
              </w:rPr>
              <w:t>yes</w:t>
            </w:r>
          </w:p>
        </w:tc>
      </w:tr>
      <w:tr>
        <w:tc>
          <w:tcPr>
            <w:tcW w:type="dxa" w:w="2304"/>
          </w:tcPr>
          <w:p>
            <w:r/>
            <w:r>
              <w:rPr>
                <w:sz w:val="18"/>
              </w:rPr>
              <w:t>grounding scorer</w:t>
            </w:r>
          </w:p>
        </w:tc>
        <w:tc>
          <w:tcPr>
            <w:tcW w:type="dxa" w:w="1296"/>
          </w:tcPr>
          <w:p>
            <w:r/>
            <w:r>
              <w:rPr>
                <w:sz w:val="18"/>
              </w:rPr>
              <w:t>9ecc330</w:t>
            </w:r>
          </w:p>
        </w:tc>
        <w:tc>
          <w:tcPr>
            <w:tcW w:type="dxa" w:w="1872"/>
          </w:tcPr>
          <w:p>
            <w:r/>
            <w:r>
              <w:rPr>
                <w:sz w:val="18"/>
              </w:rPr>
              <w:t>17 Sep 2026</w:t>
            </w:r>
          </w:p>
        </w:tc>
        <w:tc>
          <w:tcPr>
            <w:tcW w:type="dxa" w:w="4176"/>
          </w:tcPr>
          <w:p>
            <w:r/>
            <w:r>
              <w:rPr>
                <w:sz w:val="18"/>
              </w:rPr>
              <w:t>no</w:t>
            </w:r>
          </w:p>
        </w:tc>
      </w:tr>
      <w:tr>
        <w:tc>
          <w:tcPr>
            <w:tcW w:type="dxa" w:w="2304"/>
          </w:tcPr>
          <w:p>
            <w:r/>
            <w:r>
              <w:rPr>
                <w:sz w:val="18"/>
              </w:rPr>
              <w:t>grounding scorer</w:t>
            </w:r>
          </w:p>
        </w:tc>
        <w:tc>
          <w:tcPr>
            <w:tcW w:type="dxa" w:w="1296"/>
          </w:tcPr>
          <w:p>
            <w:r/>
            <w:r>
              <w:rPr>
                <w:sz w:val="18"/>
              </w:rPr>
              <w:t>63a73a6</w:t>
            </w:r>
          </w:p>
        </w:tc>
        <w:tc>
          <w:tcPr>
            <w:tcW w:type="dxa" w:w="1872"/>
          </w:tcPr>
          <w:p>
            <w:r/>
            <w:r>
              <w:rPr>
                <w:sz w:val="18"/>
              </w:rPr>
              <w:t>21 Sep 2026</w:t>
            </w:r>
          </w:p>
        </w:tc>
        <w:tc>
          <w:tcPr>
            <w:tcW w:type="dxa" w:w="4176"/>
          </w:tcPr>
          <w:p>
            <w:r/>
            <w:r>
              <w:rPr>
                <w:sz w:val="18"/>
              </w:rPr>
              <w:t>no</w:t>
            </w:r>
          </w:p>
        </w:tc>
      </w:tr>
      <w:tr>
        <w:tc>
          <w:tcPr>
            <w:tcW w:type="dxa" w:w="2304"/>
          </w:tcPr>
          <w:p>
            <w:r/>
            <w:r>
              <w:rPr>
                <w:sz w:val="18"/>
              </w:rPr>
              <w:t>recorded report run</w:t>
            </w:r>
          </w:p>
        </w:tc>
        <w:tc>
          <w:tcPr>
            <w:tcW w:type="dxa" w:w="1296"/>
          </w:tcPr>
          <w:p>
            <w:r/>
            <w:r>
              <w:rPr>
                <w:sz w:val="18"/>
              </w:rPr>
              <w:t>7a4b725</w:t>
            </w:r>
          </w:p>
        </w:tc>
        <w:tc>
          <w:tcPr>
            <w:tcW w:type="dxa" w:w="1872"/>
          </w:tcPr>
          <w:p>
            <w:r/>
            <w:r>
              <w:rPr>
                <w:sz w:val="18"/>
              </w:rPr>
              <w:t>16 Sep 2026</w:t>
            </w:r>
          </w:p>
        </w:tc>
        <w:tc>
          <w:tcPr>
            <w:tcW w:type="dxa" w:w="4176"/>
          </w:tcPr>
          <w:p>
            <w:r/>
            <w:r>
              <w:rPr>
                <w:sz w:val="18"/>
              </w:rPr>
              <w:t>0 LLM / 11 fallback; 0 pass</w:t>
            </w:r>
          </w:p>
        </w:tc>
      </w:tr>
      <w:tr>
        <w:tc>
          <w:tcPr>
            <w:tcW w:type="dxa" w:w="2304"/>
          </w:tcPr>
          <w:p>
            <w:r/>
            <w:r>
              <w:rPr>
                <w:sz w:val="18"/>
              </w:rPr>
              <w:t>recorded report run</w:t>
            </w:r>
          </w:p>
        </w:tc>
        <w:tc>
          <w:tcPr>
            <w:tcW w:type="dxa" w:w="1296"/>
          </w:tcPr>
          <w:p>
            <w:r/>
            <w:r>
              <w:rPr>
                <w:sz w:val="18"/>
              </w:rPr>
              <w:t>9ecc330</w:t>
            </w:r>
          </w:p>
        </w:tc>
        <w:tc>
          <w:tcPr>
            <w:tcW w:type="dxa" w:w="1872"/>
          </w:tcPr>
          <w:p>
            <w:r/>
            <w:r>
              <w:rPr>
                <w:sz w:val="18"/>
              </w:rPr>
              <w:t>17 Sep 2026</w:t>
            </w:r>
          </w:p>
        </w:tc>
        <w:tc>
          <w:tcPr>
            <w:tcW w:type="dxa" w:w="4176"/>
          </w:tcPr>
          <w:p>
            <w:r/>
            <w:r>
              <w:rPr>
                <w:sz w:val="18"/>
              </w:rPr>
              <w:t>11 LLM / 0 fallback; 0 pass</w:t>
            </w:r>
          </w:p>
        </w:tc>
      </w:tr>
    </w:tbl>
    <w:p>
      <w:pPr>
        <w:spacing w:after="0"/>
      </w:pPr>
    </w:p>
    <w:p>
      <w:pPr>
        <w:jc w:val="center"/>
      </w:pPr>
      <w:r>
        <w:drawing>
          <wp:inline xmlns:a="http://schemas.openxmlformats.org/drawingml/2006/main" xmlns:pic="http://schemas.openxmlformats.org/drawingml/2006/picture">
            <wp:extent cx="6126480" cy="1560926"/>
            <wp:docPr id="3" name="Picture 3"/>
            <wp:cNvGraphicFramePr>
              <a:graphicFrameLocks noChangeAspect="1"/>
            </wp:cNvGraphicFramePr>
            <a:graphic>
              <a:graphicData uri="http://schemas.openxmlformats.org/drawingml/2006/picture">
                <pic:pic>
                  <pic:nvPicPr>
                    <pic:cNvPr id="0" name="r8_fig3_validator_timeline.png"/>
                    <pic:cNvPicPr/>
                  </pic:nvPicPr>
                  <pic:blipFill>
                    <a:blip r:embed="rId11"/>
                    <a:stretch>
                      <a:fillRect/>
                    </a:stretch>
                  </pic:blipFill>
                  <pic:spPr>
                    <a:xfrm>
                      <a:off x="0" y="0"/>
                      <a:ext cx="6126480" cy="1560926"/>
                    </a:xfrm>
                    <a:prstGeom prst="rect"/>
                  </pic:spPr>
                </pic:pic>
              </a:graphicData>
            </a:graphic>
          </wp:inline>
        </w:drawing>
      </w:r>
    </w:p>
    <w:p>
      <w:r>
        <w:rPr>
          <w:b/>
          <w:sz w:val="19"/>
        </w:rPr>
        <w:t xml:space="preserve">Figure 3. </w:t>
      </w:r>
      <w:r>
        <w:rPr>
          <w:sz w:val="19"/>
        </w:rPr>
        <w:t>Order of events from git history: validator, then scorer (recorded with 0 model-generated reports), then the 11 model-generated reports.</w:t>
      </w:r>
    </w:p>
    <w:p>
      <w:pPr>
        <w:spacing w:before="160" w:after="40"/>
      </w:pPr>
      <w:r>
        <w:rPr>
          <w:b/>
          <w:color w:val="1F2933"/>
          <w:sz w:val="21"/>
        </w:rPr>
        <w:t>Supporting argument and limits</w:t>
      </w:r>
    </w:p>
    <w:p>
      <w:pPr>
        <w:pStyle w:val="ListBullet"/>
      </w:pPr>
      <w:r>
        <w:rPr>
          <w:b/>
        </w:rPr>
        <w:t>The 0/11 result comes from `validate_report`,</w:t>
      </w:r>
      <w:r>
        <w:rPr/>
        <w:t xml:space="preserve"> the oldest of the artefacts: every report failed on unacknowledged withheld metrics (cross-setting and cross-contributor comparison).</w:t>
      </w:r>
    </w:p>
    <w:p>
      <w:pPr>
        <w:pStyle w:val="ListBullet"/>
      </w:pPr>
      <w:r>
        <w:rPr>
          <w:b/>
        </w:rPr>
        <w:t>Earlier attempts.</w:t>
      </w:r>
      <w:r>
        <w:rPr/>
        <w:t xml:space="preserve"> Before the recorded run the reporting call failed structurally (prompt-only formatting on the </w:t>
      </w:r>
      <w:r>
        <w:rPr>
          <w:rFonts w:ascii="Consolas" w:hAnsi="Consolas"/>
          <w:sz w:val="18"/>
        </w:rPr>
        <w:t>/v1</w:t>
      </w:r>
      <w:r>
        <w:rPr/>
        <w:t xml:space="preserve"> endpoint); schema-constrained decoding was adopted to fix structure, before any governance result existed (</w:t>
      </w:r>
      <w:r>
        <w:rPr>
          <w:rFonts w:ascii="Consolas" w:hAnsi="Consolas"/>
          <w:sz w:val="18"/>
        </w:rPr>
        <w:t>docs/paper/clarification_answers_round2.md</w:t>
      </w:r>
      <w:r>
        <w:rPr/>
        <w:t>, Q7). Those attempts fell back to the template and were not scored.</w:t>
      </w:r>
    </w:p>
    <w:p>
      <w:pPr>
        <w:pStyle w:val="ListBullet"/>
      </w:pPr>
      <w:r>
        <w:rPr>
          <w:b/>
        </w:rPr>
        <w:t>The one calibration that was made</w:t>
      </w:r>
      <w:r>
        <w:rPr/>
        <w:t xml:space="preserve"> (matching numbers at printed precision) was calibrated on the deterministic template, whose prose is grounded by construction, not on model output; it is documented in the scorer and precedes the model-generated run.</w:t>
      </w:r>
    </w:p>
    <w:p>
      <w:pPr>
        <w:pStyle w:val="ListBullet"/>
      </w:pPr>
      <w:r>
        <w:rPr>
          <w:b/>
        </w:rPr>
        <w:t>Limit.</w:t>
      </w:r>
      <w:r>
        <w:rPr/>
        <w:t xml:space="preserve"> Commit dates bound when code and results entered version control, not when a run executed; the result file carries no run timestamp. The ordering of commits is therefore the evidence offered; the exact time of the run within 16–17 September is not recorded.</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manuscript wording (Section 2.19)</w:t>
            </w:r>
          </w:p>
          <w:p>
            <w:r>
              <w:rPr/>
              <w:t>"The four pass/fail criteria were fixed in version-controlled code before the 11 reports were generated and were not modified afterwards: the governance validator (prohibited content; acknowledgement of insufficient evidence and of each withheld metric) was committed on 25 Aug 2026, and the numeric-grounding and evidence-reference scorer on 16 Sep 2026, when no model-generated report had yet been recorded (commits 75eb1d5, 7a4b725; reports recorded in 9ecc330)."</w:t>
            </w:r>
          </w:p>
        </w:tc>
      </w:tr>
    </w:tbl>
    <w:p/>
    <w:p>
      <w:pPr>
        <w:pStyle w:val="Heading1"/>
      </w:pPr>
      <w:r>
        <w:t>How this document was produced</w:t>
      </w:r>
    </w:p>
    <w:p>
      <w:pPr>
        <w:ind w:left="280"/>
      </w:pPr>
      <w:r>
        <w:rPr>
          <w:rFonts w:ascii="Consolas" w:hAnsi="Consolas"/>
          <w:sz w:val="18"/>
        </w:rPr>
        <w:t>uv run python -m tests.eval.extraction.round8_analysis   # no model calls; needs exp-data/ locally</w:t>
        <w:br/>
      </w:r>
      <w:r>
        <w:rPr>
          <w:rFonts w:ascii="Consolas" w:hAnsi="Consolas"/>
          <w:sz w:val="18"/>
        </w:rPr>
        <w:t>uv run python docs/paper/make_round8_response.py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