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Governance-Aware Pipeline for Structuring Longitudinal Autism Intervention Observations: Annotation Reliability, Extraction Accuracy, and Multi-Judge Reranking</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41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93.5% of opportunities. Reranking selected better than chance but did not improve on always using the strongest generator.</w:t>
      </w:r>
    </w:p>
    <w:p>
      <w:r>
        <w:rPr>
          <w:i w:val="0"/>
        </w:rPr>
        <w:t>Conclusions. Low inter-annotator agreement in this task was largely definitional rather than a matter of annotator inconsistency, and was measurably repaired by a written codebook under a controlled design. The local generators evaluated here are not adequate for the extraction task, and candidate selection cannot compensate for candidate quality.</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A. Corpus composition: behavioural segments per child, by source corpus.</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B.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C. Joint yield under a require-all policy. A 60-segment pilot projected 519 segments would be consumed to reach 330; the realised run consumed 506.</w:t>
      </w:r>
    </w:p>
    <w:p>
      <w:r>
        <w:rPr>
          <w:i w:val="0"/>
        </w:rPr>
        <w:t>The batch is frozen at this point and is not regenerated. Generators are replayed from it wherever they are needed downstream, so MARS selects from exactly the candidates the annotators saw.</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D. MARS control flow: models propose and rank, deterministic code decides, and each abstention carries a typed reason code.</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1.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2. Two-round annotation protocol with realised counts; every segment is accounted for where it leaves.</w:t>
      </w:r>
    </w:p>
    <w:p>
      <w:r>
        <w:br w:type="page"/>
      </w:r>
    </w:p>
    <w:p>
      <w:pPr>
        <w:pStyle w:val="Heading1"/>
      </w:pPr>
      <w:r>
        <w:t>Results</w:t>
      </w:r>
    </w:p>
    <w:p>
      <w:pPr>
        <w:pStyle w:val="Heading2"/>
      </w:pPr>
      <w:r>
        <w:t>Annotation reliability</w:t>
      </w:r>
    </w:p>
    <w:p>
      <w:r>
        <w:rPr>
          <w:b/>
          <w:sz w:val="19"/>
        </w:rPr>
        <w:t>Table 1. Round-1 reliability and the ceiling the marginals allow (n = 330).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Field</w:t>
            </w:r>
          </w:p>
        </w:tc>
        <w:tc>
          <w:tcPr>
            <w:tcW w:type="dxa" w:w="1728"/>
          </w:tcPr>
          <w:p>
            <w:r>
              <w:rPr>
                <w:b/>
                <w:sz w:val="18"/>
              </w:rPr>
              <w:t>kappa</w:t>
            </w:r>
          </w:p>
        </w:tc>
        <w:tc>
          <w:tcPr>
            <w:tcW w:type="dxa" w:w="1728"/>
          </w:tcPr>
          <w:p>
            <w:r>
              <w:rPr>
                <w:b/>
                <w:sz w:val="18"/>
              </w:rPr>
              <w:t>95% CI</w:t>
            </w:r>
          </w:p>
        </w:tc>
        <w:tc>
          <w:tcPr>
            <w:tcW w:type="dxa" w:w="1728"/>
          </w:tcPr>
          <w:p>
            <w:r>
              <w:rPr>
                <w:b/>
                <w:sz w:val="18"/>
              </w:rPr>
              <w:t>kappa_max</w:t>
            </w:r>
          </w:p>
        </w:tc>
        <w:tc>
          <w:tcPr>
            <w:tcW w:type="dxa" w:w="1728"/>
          </w:tcPr>
          <w:p>
            <w:r>
              <w:rPr>
                <w:b/>
                <w:sz w:val="18"/>
              </w:rPr>
              <w:t>kappa / kappa_max</w:t>
            </w:r>
          </w:p>
        </w:tc>
      </w:tr>
      <w:tr>
        <w:tc>
          <w:tcPr>
            <w:tcW w:type="dxa" w:w="1728"/>
          </w:tcPr>
          <w:p>
            <w:r>
              <w:rPr>
                <w:sz w:val="18"/>
              </w:rPr>
              <w:t>domain</w:t>
            </w:r>
          </w:p>
        </w:tc>
        <w:tc>
          <w:tcPr>
            <w:tcW w:type="dxa" w:w="1728"/>
          </w:tcPr>
          <w:p>
            <w:r>
              <w:rPr>
                <w:sz w:val="18"/>
              </w:rPr>
              <w:t>0.751</w:t>
            </w:r>
          </w:p>
        </w:tc>
        <w:tc>
          <w:tcPr>
            <w:tcW w:type="dxa" w:w="1728"/>
          </w:tcPr>
          <w:p>
            <w:r>
              <w:rPr>
                <w:sz w:val="18"/>
              </w:rPr>
              <w:t>[0.697, 0.803]</w:t>
            </w:r>
          </w:p>
        </w:tc>
        <w:tc>
          <w:tcPr>
            <w:tcW w:type="dxa" w:w="1728"/>
          </w:tcPr>
          <w:p>
            <w:r>
              <w:rPr>
                <w:sz w:val="18"/>
              </w:rPr>
              <w:t>0.921</w:t>
            </w:r>
          </w:p>
        </w:tc>
        <w:tc>
          <w:tcPr>
            <w:tcW w:type="dxa" w:w="1728"/>
          </w:tcPr>
          <w:p>
            <w:r>
              <w:rPr>
                <w:sz w:val="18"/>
              </w:rPr>
              <w:t>0.816</w:t>
            </w:r>
          </w:p>
        </w:tc>
      </w:tr>
      <w:tr>
        <w:tc>
          <w:tcPr>
            <w:tcW w:type="dxa" w:w="1728"/>
          </w:tcPr>
          <w:p>
            <w:r>
              <w:rPr>
                <w:sz w:val="18"/>
              </w:rPr>
              <w:t>modality</w:t>
            </w:r>
          </w:p>
        </w:tc>
        <w:tc>
          <w:tcPr>
            <w:tcW w:type="dxa" w:w="1728"/>
          </w:tcPr>
          <w:p>
            <w:r>
              <w:rPr>
                <w:sz w:val="18"/>
              </w:rPr>
              <w:t>0.570</w:t>
            </w:r>
          </w:p>
        </w:tc>
        <w:tc>
          <w:tcPr>
            <w:tcW w:type="dxa" w:w="1728"/>
          </w:tcPr>
          <w:p>
            <w:r>
              <w:rPr>
                <w:sz w:val="18"/>
              </w:rPr>
              <w:t>[0.517, 0.624]</w:t>
            </w:r>
          </w:p>
        </w:tc>
        <w:tc>
          <w:tcPr>
            <w:tcW w:type="dxa" w:w="1728"/>
          </w:tcPr>
          <w:p>
            <w:r>
              <w:rPr>
                <w:sz w:val="18"/>
              </w:rPr>
              <w:t>0.622</w:t>
            </w:r>
          </w:p>
        </w:tc>
        <w:tc>
          <w:tcPr>
            <w:tcW w:type="dxa" w:w="1728"/>
          </w:tcPr>
          <w:p>
            <w:r>
              <w:rPr>
                <w:sz w:val="18"/>
              </w:rPr>
              <w:t>0.916</w:t>
            </w:r>
          </w:p>
        </w:tc>
      </w:tr>
      <w:tr>
        <w:tc>
          <w:tcPr>
            <w:tcW w:type="dxa" w:w="1728"/>
          </w:tcPr>
          <w:p>
            <w:r>
              <w:rPr>
                <w:sz w:val="18"/>
              </w:rPr>
              <w:t>prompt_level</w:t>
            </w:r>
          </w:p>
        </w:tc>
        <w:tc>
          <w:tcPr>
            <w:tcW w:type="dxa" w:w="1728"/>
          </w:tcPr>
          <w:p>
            <w:r>
              <w:rPr>
                <w:sz w:val="18"/>
              </w:rPr>
              <w:t>0.595</w:t>
            </w:r>
          </w:p>
        </w:tc>
        <w:tc>
          <w:tcPr>
            <w:tcW w:type="dxa" w:w="1728"/>
          </w:tcPr>
          <w:p>
            <w:r>
              <w:rPr>
                <w:sz w:val="18"/>
              </w:rPr>
              <w:t>[0.516, 0.667]</w:t>
            </w:r>
          </w:p>
        </w:tc>
        <w:tc>
          <w:tcPr>
            <w:tcW w:type="dxa" w:w="1728"/>
          </w:tcPr>
          <w:p>
            <w:r>
              <w:rPr>
                <w:sz w:val="18"/>
              </w:rPr>
              <w:t>0.839</w:t>
            </w:r>
          </w:p>
        </w:tc>
        <w:tc>
          <w:tcPr>
            <w:tcW w:type="dxa" w:w="1728"/>
          </w:tcPr>
          <w:p>
            <w:r>
              <w:rPr>
                <w:sz w:val="18"/>
              </w:rPr>
              <w:t>0.709</w:t>
            </w:r>
          </w:p>
        </w:tc>
      </w:tr>
      <w:tr>
        <w:tc>
          <w:tcPr>
            <w:tcW w:type="dxa" w:w="1728"/>
          </w:tcPr>
          <w:p>
            <w:r>
              <w:rPr>
                <w:sz w:val="18"/>
              </w:rPr>
              <w:t>outcome</w:t>
            </w:r>
          </w:p>
        </w:tc>
        <w:tc>
          <w:tcPr>
            <w:tcW w:type="dxa" w:w="1728"/>
          </w:tcPr>
          <w:p>
            <w:r>
              <w:rPr>
                <w:sz w:val="18"/>
              </w:rPr>
              <w:t>0.524</w:t>
            </w:r>
          </w:p>
        </w:tc>
        <w:tc>
          <w:tcPr>
            <w:tcW w:type="dxa" w:w="1728"/>
          </w:tcPr>
          <w:p>
            <w:r>
              <w:rPr>
                <w:sz w:val="18"/>
              </w:rPr>
              <w:t>[0.458, 0.589]</w:t>
            </w:r>
          </w:p>
        </w:tc>
        <w:tc>
          <w:tcPr>
            <w:tcW w:type="dxa" w:w="1728"/>
          </w:tcPr>
          <w:p>
            <w:r>
              <w:rPr>
                <w:sz w:val="18"/>
              </w:rPr>
              <w:t>0.758</w:t>
            </w:r>
          </w:p>
        </w:tc>
        <w:tc>
          <w:tcPr>
            <w:tcW w:type="dxa" w:w="1728"/>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3.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4.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5. Round-1 conflicts by cause. 254 of 355 fall on one of three stated definitional boundaries.</w:t>
      </w:r>
    </w:p>
    <w:p>
      <w:r>
        <w:rPr>
          <w:b/>
          <w:sz w:val="19"/>
        </w:rPr>
        <w:t>Table 2. Change in kappa over the re-issued segments, treated fields against the untreated control.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Arm</w:t>
            </w:r>
          </w:p>
        </w:tc>
        <w:tc>
          <w:tcPr>
            <w:tcW w:type="dxa" w:w="1440"/>
          </w:tcPr>
          <w:p>
            <w:r>
              <w:rPr>
                <w:b/>
                <w:sz w:val="18"/>
              </w:rPr>
              <w:t>Round 1</w:t>
            </w:r>
          </w:p>
        </w:tc>
        <w:tc>
          <w:tcPr>
            <w:tcW w:type="dxa" w:w="1440"/>
          </w:tcPr>
          <w:p>
            <w:r>
              <w:rPr>
                <w:b/>
                <w:sz w:val="18"/>
              </w:rPr>
              <w:t>Round 2</w:t>
            </w:r>
          </w:p>
        </w:tc>
        <w:tc>
          <w:tcPr>
            <w:tcW w:type="dxa" w:w="1440"/>
          </w:tcPr>
          <w:p>
            <w:r>
              <w:rPr>
                <w:b/>
                <w:sz w:val="18"/>
              </w:rPr>
              <w:t>Change</w:t>
            </w:r>
          </w:p>
        </w:tc>
        <w:tc>
          <w:tcPr>
            <w:tcW w:type="dxa" w:w="1440"/>
          </w:tcPr>
          <w:p>
            <w:r>
              <w:rPr>
                <w:b/>
                <w:sz w:val="18"/>
              </w:rPr>
              <w:t>95% CI (paired)</w:t>
            </w:r>
          </w:p>
        </w:tc>
      </w:tr>
      <w:tr>
        <w:tc>
          <w:tcPr>
            <w:tcW w:type="dxa" w:w="1440"/>
          </w:tcPr>
          <w:p>
            <w:r>
              <w:rPr>
                <w:sz w:val="18"/>
              </w:rPr>
              <w:t>domain</w:t>
            </w:r>
          </w:p>
        </w:tc>
        <w:tc>
          <w:tcPr>
            <w:tcW w:type="dxa" w:w="1440"/>
          </w:tcPr>
          <w:p>
            <w:r>
              <w:rPr>
                <w:sz w:val="18"/>
              </w:rPr>
              <w:t>control</w:t>
            </w:r>
          </w:p>
        </w:tc>
        <w:tc>
          <w:tcPr>
            <w:tcW w:type="dxa" w:w="1440"/>
          </w:tcPr>
          <w:p>
            <w:r>
              <w:rPr>
                <w:sz w:val="18"/>
              </w:rPr>
              <w:t>0.732</w:t>
            </w:r>
          </w:p>
        </w:tc>
        <w:tc>
          <w:tcPr>
            <w:tcW w:type="dxa" w:w="1440"/>
          </w:tcPr>
          <w:p>
            <w:r>
              <w:rPr>
                <w:sz w:val="18"/>
              </w:rPr>
              <w:t>0.691</w:t>
            </w:r>
          </w:p>
        </w:tc>
        <w:tc>
          <w:tcPr>
            <w:tcW w:type="dxa" w:w="1440"/>
          </w:tcPr>
          <w:p>
            <w:r>
              <w:rPr>
                <w:sz w:val="18"/>
              </w:rPr>
              <w:t>-0.041</w:t>
            </w:r>
          </w:p>
        </w:tc>
        <w:tc>
          <w:tcPr>
            <w:tcW w:type="dxa" w:w="1440"/>
          </w:tcPr>
          <w:p>
            <w:r>
              <w:rPr>
                <w:sz w:val="18"/>
              </w:rPr>
              <w:t>[-0.141, +0.052]</w:t>
            </w:r>
          </w:p>
        </w:tc>
      </w:tr>
      <w:tr>
        <w:tc>
          <w:tcPr>
            <w:tcW w:type="dxa" w:w="1440"/>
          </w:tcPr>
          <w:p>
            <w:r>
              <w:rPr>
                <w:sz w:val="18"/>
              </w:rPr>
              <w:t>modality</w:t>
            </w:r>
          </w:p>
        </w:tc>
        <w:tc>
          <w:tcPr>
            <w:tcW w:type="dxa" w:w="1440"/>
          </w:tcPr>
          <w:p>
            <w:r>
              <w:rPr>
                <w:sz w:val="18"/>
              </w:rPr>
              <w:t>treated</w:t>
            </w:r>
          </w:p>
        </w:tc>
        <w:tc>
          <w:tcPr>
            <w:tcW w:type="dxa" w:w="1440"/>
          </w:tcPr>
          <w:p>
            <w:r>
              <w:rPr>
                <w:sz w:val="18"/>
              </w:rPr>
              <w:t>0.385</w:t>
            </w:r>
          </w:p>
        </w:tc>
        <w:tc>
          <w:tcPr>
            <w:tcW w:type="dxa" w:w="1440"/>
          </w:tcPr>
          <w:p>
            <w:r>
              <w:rPr>
                <w:sz w:val="18"/>
              </w:rPr>
              <w:t>0.866</w:t>
            </w:r>
          </w:p>
        </w:tc>
        <w:tc>
          <w:tcPr>
            <w:tcW w:type="dxa" w:w="1440"/>
          </w:tcPr>
          <w:p>
            <w:r>
              <w:rPr>
                <w:sz w:val="18"/>
              </w:rPr>
              <w:t>+0.481</w:t>
            </w:r>
          </w:p>
        </w:tc>
        <w:tc>
          <w:tcPr>
            <w:tcW w:type="dxa" w:w="1440"/>
          </w:tcPr>
          <w:p>
            <w:r>
              <w:rPr>
                <w:sz w:val="18"/>
              </w:rPr>
              <w:t>[+0.397, +0.565]  *</w:t>
            </w:r>
          </w:p>
        </w:tc>
      </w:tr>
      <w:tr>
        <w:tc>
          <w:tcPr>
            <w:tcW w:type="dxa" w:w="1440"/>
          </w:tcPr>
          <w:p>
            <w:r>
              <w:rPr>
                <w:sz w:val="18"/>
              </w:rPr>
              <w:t>prompt_level</w:t>
            </w:r>
          </w:p>
        </w:tc>
        <w:tc>
          <w:tcPr>
            <w:tcW w:type="dxa" w:w="1440"/>
          </w:tcPr>
          <w:p>
            <w:r>
              <w:rPr>
                <w:sz w:val="18"/>
              </w:rPr>
              <w:t>treated</w:t>
            </w:r>
          </w:p>
        </w:tc>
        <w:tc>
          <w:tcPr>
            <w:tcW w:type="dxa" w:w="1440"/>
          </w:tcPr>
          <w:p>
            <w:r>
              <w:rPr>
                <w:sz w:val="18"/>
              </w:rPr>
              <w:t>0.281</w:t>
            </w:r>
          </w:p>
        </w:tc>
        <w:tc>
          <w:tcPr>
            <w:tcW w:type="dxa" w:w="1440"/>
          </w:tcPr>
          <w:p>
            <w:r>
              <w:rPr>
                <w:sz w:val="18"/>
              </w:rPr>
              <w:t>0.574</w:t>
            </w:r>
          </w:p>
        </w:tc>
        <w:tc>
          <w:tcPr>
            <w:tcW w:type="dxa" w:w="1440"/>
          </w:tcPr>
          <w:p>
            <w:r>
              <w:rPr>
                <w:sz w:val="18"/>
              </w:rPr>
              <w:t>+0.293</w:t>
            </w:r>
          </w:p>
        </w:tc>
        <w:tc>
          <w:tcPr>
            <w:tcW w:type="dxa" w:w="1440"/>
          </w:tcPr>
          <w:p>
            <w:r>
              <w:rPr>
                <w:sz w:val="18"/>
              </w:rPr>
              <w:t>[+0.137, +0.447]  *</w:t>
            </w:r>
          </w:p>
        </w:tc>
      </w:tr>
      <w:tr>
        <w:tc>
          <w:tcPr>
            <w:tcW w:type="dxa" w:w="1440"/>
          </w:tcPr>
          <w:p>
            <w:r>
              <w:rPr>
                <w:sz w:val="18"/>
              </w:rPr>
              <w:t>outcome</w:t>
            </w:r>
          </w:p>
        </w:tc>
        <w:tc>
          <w:tcPr>
            <w:tcW w:type="dxa" w:w="1440"/>
          </w:tcPr>
          <w:p>
            <w:r>
              <w:rPr>
                <w:sz w:val="18"/>
              </w:rPr>
              <w:t>treated</w:t>
            </w:r>
          </w:p>
        </w:tc>
        <w:tc>
          <w:tcPr>
            <w:tcW w:type="dxa" w:w="1440"/>
          </w:tcPr>
          <w:p>
            <w:r>
              <w:rPr>
                <w:sz w:val="18"/>
              </w:rPr>
              <w:t>0.284</w:t>
            </w:r>
          </w:p>
        </w:tc>
        <w:tc>
          <w:tcPr>
            <w:tcW w:type="dxa" w:w="1440"/>
          </w:tcPr>
          <w:p>
            <w:r>
              <w:rPr>
                <w:sz w:val="18"/>
              </w:rPr>
              <w:t>0.628</w:t>
            </w:r>
          </w:p>
        </w:tc>
        <w:tc>
          <w:tcPr>
            <w:tcW w:type="dxa" w:w="1440"/>
          </w:tcPr>
          <w:p>
            <w:r>
              <w:rPr>
                <w:sz w:val="18"/>
              </w:rPr>
              <w:t>+0.344</w:t>
            </w:r>
          </w:p>
        </w:tc>
        <w:tc>
          <w:tcPr>
            <w:tcW w:type="dxa" w:w="1440"/>
          </w:tcPr>
          <w:p>
            <w:r>
              <w:rPr>
                <w:sz w:val="18"/>
              </w:rPr>
              <w:t>[+0.217, +0.464]  *</w:t>
            </w:r>
          </w:p>
        </w:tc>
      </w:tr>
    </w:tbl>
    <w:p/>
    <w:p>
      <w:r>
        <w:rPr>
          <w:i w:val="0"/>
        </w:rPr>
        <w:t>All three treated fields improved with intervals excluding zero; the control did not move. Practice, fatigue and regression to the mean apply identically to both arms and are bounded by the control at −0.041, so they cannot account for gains of +0.29 to +0.48. The mechanism is visible in the ceilings: kappa_max on modality moved from 0.622 to 0.948 as the annotators' category vocabularies aligned.</w:t>
      </w:r>
    </w:p>
    <w:p>
      <w:pPr>
        <w:jc w:val="center"/>
      </w:pPr>
      <w:r>
        <w:drawing>
          <wp:inline xmlns:a="http://schemas.openxmlformats.org/drawingml/2006/main" xmlns:pic="http://schemas.openxmlformats.org/drawingml/2006/picture">
            <wp:extent cx="5760720" cy="2078323"/>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78323"/>
                    </a:xfrm>
                    <a:prstGeom prst="rect"/>
                  </pic:spPr>
                </pic:pic>
              </a:graphicData>
            </a:graphic>
          </wp:inline>
        </w:drawing>
      </w:r>
    </w:p>
    <w:p>
      <w:pPr>
        <w:jc w:val="center"/>
      </w:pPr>
      <w:r>
        <w:rPr>
          <w:i/>
          <w:color w:val="7B8994"/>
          <w:sz w:val="18"/>
        </w:rPr>
        <w:t>Figure 6. Reliability before and after the codebook, with the paired interval on each change. The control field is shown in grey.</w:t>
      </w:r>
    </w:p>
    <w:p>
      <w:pPr>
        <w:pStyle w:val="Heading2"/>
      </w:pPr>
      <w:r>
        <w:t>Gold standard</w:t>
      </w:r>
    </w:p>
    <w:p>
      <w:r>
        <w:rPr>
          <w:b/>
          <w:sz w:val="19"/>
        </w:rPr>
        <w:t>Table 3.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Resolved by consensus adjudication</w:t>
            </w:r>
          </w:p>
        </w:tc>
        <w:tc>
          <w:tcPr>
            <w:tcW w:type="dxa" w:w="4320"/>
          </w:tcPr>
          <w:p>
            <w:r>
              <w:rPr>
                <w:sz w:val="18"/>
              </w:rPr>
              <w:t>322</w:t>
            </w:r>
          </w:p>
        </w:tc>
      </w:tr>
      <w:tr>
        <w:tc>
          <w:tcPr>
            <w:tcW w:type="dxa" w:w="4320"/>
          </w:tcPr>
          <w:p>
            <w:r>
              <w:rPr>
                <w:sz w:val="18"/>
              </w:rPr>
              <w:t>Agreed on every field</w:t>
            </w:r>
          </w:p>
        </w:tc>
        <w:tc>
          <w:tcPr>
            <w:tcW w:type="dxa" w:w="4320"/>
          </w:tcPr>
          <w:p>
            <w:r>
              <w:rPr>
                <w:sz w:val="18"/>
              </w:rPr>
              <w:t>8</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372619"/>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372619"/>
                    </a:xfrm>
                    <a:prstGeom prst="rect"/>
                  </pic:spPr>
                </pic:pic>
              </a:graphicData>
            </a:graphic>
          </wp:inline>
        </w:drawing>
      </w:r>
    </w:p>
    <w:p>
      <w:pPr>
        <w:jc w:val="center"/>
      </w:pPr>
      <w:r>
        <w:rPr>
          <w:i/>
          <w:color w:val="7B8994"/>
          <w:sz w:val="18"/>
        </w:rPr>
        <w:t>Figure E.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F.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G.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H. MARS candidate-stage branch distribution: 12.7% abstain before any judge is consulted, 37.3% short-circuit, 50.0% present a genuine ranking decision.</w:t>
      </w:r>
    </w:p>
    <w:p>
      <w:pPr>
        <w:pStyle w:val="Heading2"/>
      </w:pPr>
      <w:r>
        <w:t>Extraction accuracy</w:t>
      </w:r>
    </w:p>
    <w:p>
      <w:r>
        <w:rPr>
          <w:b/>
          <w:sz w:val="19"/>
        </w:rPr>
        <w:t>Table 4. Acceptable extractions per field (n = 330; acceptable = correct or correctly null; free-text behavior excluded).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17.9%</w:t>
            </w:r>
          </w:p>
        </w:tc>
        <w:tc>
          <w:tcPr>
            <w:tcW w:type="dxa" w:w="1728"/>
          </w:tcPr>
          <w:p>
            <w:r>
              <w:rPr>
                <w:sz w:val="18"/>
              </w:rPr>
              <w:t>50.3%</w:t>
            </w:r>
          </w:p>
        </w:tc>
        <w:tc>
          <w:tcPr>
            <w:tcW w:type="dxa" w:w="1728"/>
          </w:tcPr>
          <w:p>
            <w:r>
              <w:rPr>
                <w:sz w:val="18"/>
              </w:rPr>
              <w:t>28.2%</w:t>
            </w:r>
          </w:p>
        </w:tc>
        <w:tc>
          <w:tcPr>
            <w:tcW w:type="dxa" w:w="1728"/>
          </w:tcPr>
          <w:p>
            <w:r>
              <w:rPr>
                <w:sz w:val="18"/>
              </w:rPr>
              <w:t>27.0%</w:t>
            </w:r>
          </w:p>
        </w:tc>
      </w:tr>
      <w:tr>
        <w:tc>
          <w:tcPr>
            <w:tcW w:type="dxa" w:w="1728"/>
          </w:tcPr>
          <w:p>
            <w:r>
              <w:rPr>
                <w:sz w:val="18"/>
              </w:rPr>
              <w:t>qwen2.5:3b</w:t>
            </w:r>
          </w:p>
        </w:tc>
        <w:tc>
          <w:tcPr>
            <w:tcW w:type="dxa" w:w="1728"/>
          </w:tcPr>
          <w:p>
            <w:r>
              <w:rPr>
                <w:sz w:val="18"/>
              </w:rPr>
              <w:t>8.8%</w:t>
            </w:r>
          </w:p>
        </w:tc>
        <w:tc>
          <w:tcPr>
            <w:tcW w:type="dxa" w:w="1728"/>
          </w:tcPr>
          <w:p>
            <w:r>
              <w:rPr>
                <w:sz w:val="18"/>
              </w:rPr>
              <w:t>36.4%</w:t>
            </w:r>
          </w:p>
        </w:tc>
        <w:tc>
          <w:tcPr>
            <w:tcW w:type="dxa" w:w="1728"/>
          </w:tcPr>
          <w:p>
            <w:r>
              <w:rPr>
                <w:sz w:val="18"/>
              </w:rPr>
              <w:t>4.2%</w:t>
            </w:r>
          </w:p>
        </w:tc>
        <w:tc>
          <w:tcPr>
            <w:tcW w:type="dxa" w:w="1728"/>
          </w:tcPr>
          <w:p>
            <w:r>
              <w:rPr>
                <w:sz w:val="18"/>
              </w:rPr>
              <w:t>32.4%</w:t>
            </w:r>
          </w:p>
        </w:tc>
      </w:tr>
      <w:tr>
        <w:tc>
          <w:tcPr>
            <w:tcW w:type="dxa" w:w="1728"/>
          </w:tcPr>
          <w:p>
            <w:r>
              <w:rPr>
                <w:sz w:val="18"/>
              </w:rPr>
              <w:t>qwen2.5:7b</w:t>
            </w:r>
          </w:p>
        </w:tc>
        <w:tc>
          <w:tcPr>
            <w:tcW w:type="dxa" w:w="1728"/>
          </w:tcPr>
          <w:p>
            <w:r>
              <w:rPr>
                <w:sz w:val="18"/>
              </w:rPr>
              <w:t>42.4%</w:t>
            </w:r>
          </w:p>
        </w:tc>
        <w:tc>
          <w:tcPr>
            <w:tcW w:type="dxa" w:w="1728"/>
          </w:tcPr>
          <w:p>
            <w:r>
              <w:rPr>
                <w:sz w:val="18"/>
              </w:rPr>
              <w:t>67.9%</w:t>
            </w:r>
          </w:p>
        </w:tc>
        <w:tc>
          <w:tcPr>
            <w:tcW w:type="dxa" w:w="1728"/>
          </w:tcPr>
          <w:p>
            <w:r>
              <w:rPr>
                <w:sz w:val="18"/>
              </w:rPr>
              <w:t>28.2%</w:t>
            </w:r>
          </w:p>
        </w:tc>
        <w:tc>
          <w:tcPr>
            <w:tcW w:type="dxa" w:w="1728"/>
          </w:tcPr>
          <w:p>
            <w:r>
              <w:rPr>
                <w:sz w:val="18"/>
              </w:rPr>
              <w:t>33.9%</w:t>
            </w:r>
          </w:p>
        </w:tc>
      </w:tr>
    </w:tbl>
    <w:p/>
    <w:p>
      <w:pPr>
        <w:jc w:val="center"/>
      </w:pPr>
      <w:r>
        <w:drawing>
          <wp:inline xmlns:a="http://schemas.openxmlformats.org/drawingml/2006/main" xmlns:pic="http://schemas.openxmlformats.org/drawingml/2006/picture">
            <wp:extent cx="5760720" cy="2698543"/>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698543"/>
                    </a:xfrm>
                    <a:prstGeom prst="rect"/>
                  </pic:spPr>
                </pic:pic>
              </a:graphicData>
            </a:graphic>
          </wp:inline>
        </w:drawing>
      </w:r>
    </w:p>
    <w:p>
      <w:pPr>
        <w:jc w:val="center"/>
      </w:pPr>
      <w:r>
        <w:rPr>
          <w:i/>
          <w:color w:val="7B8994"/>
          <w:sz w:val="18"/>
        </w:rPr>
        <w:t>Figure 7. Per-field extraction accuracy against the adjudicated gold standard.</w:t>
      </w:r>
    </w:p>
    <w:p>
      <w:r>
        <w:rPr>
          <w:i w:val="0"/>
        </w:rPr>
        <w:t>Accuracy and coverage must be read together. qwen2.5:3b returns nothing on 277 of 330 segments for prompt_level, so its 4.2% is not comparable to the others as a quality figure.</w:t>
      </w:r>
    </w:p>
    <w:p>
      <w:r>
        <w:rPr>
          <w:b/>
          <w:sz w:val="19"/>
        </w:rPr>
        <w:t>Table 5.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39313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393131"/>
                    </a:xfrm>
                    <a:prstGeom prst="rect"/>
                  </pic:spPr>
                </pic:pic>
              </a:graphicData>
            </a:graphic>
          </wp:inline>
        </w:drawing>
      </w:r>
    </w:p>
    <w:p>
      <w:pPr>
        <w:jc w:val="center"/>
      </w:pPr>
      <w:r>
        <w:rPr>
          <w:i/>
          <w:color w:val="7B8994"/>
          <w:sz w:val="18"/>
        </w:rPr>
        <w:t>Figure 8. Values asserted where the transcript supports none.</w:t>
      </w:r>
    </w:p>
    <w:p>
      <w:r>
        <w:rPr>
          <w:b/>
          <w:sz w:val="19"/>
        </w:rPr>
        <w:t>Table 6.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9.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10. Free-text behavior against the human reference band. The two annotators reach a median overlap of 0.316 on the same segment; models sit near 0.08.</w:t>
      </w:r>
    </w:p>
    <w:p>
      <w:r>
        <w:br w:type="page"/>
      </w:r>
    </w:p>
    <w:p>
      <w:pPr>
        <w:pStyle w:val="Heading2"/>
      </w:pPr>
      <w:r>
        <w:t>Multi-judge reranking (MARS)</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7.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19" name="Picture 19"/>
            <wp:cNvGraphicFramePr>
              <a:graphicFrameLocks noChangeAspect="1"/>
            </wp:cNvGraphicFramePr>
            <a:graphic>
              <a:graphicData uri="http://schemas.openxmlformats.org/drawingml/2006/picture">
                <pic:pic>
                  <pic:nvPicPr>
                    <pic:cNvPr id="0" name="fig20_mars_outcomes.png"/>
                    <pic:cNvPicPr/>
                  </pic:nvPicPr>
                  <pic:blipFill>
                    <a:blip r:embed="rId27"/>
                    <a:stretch>
                      <a:fillRect/>
                    </a:stretch>
                  </pic:blipFill>
                  <pic:spPr>
                    <a:xfrm>
                      <a:off x="0" y="0"/>
                      <a:ext cx="5760720" cy="1688722"/>
                    </a:xfrm>
                    <a:prstGeom prst="rect"/>
                  </pic:spPr>
                </pic:pic>
              </a:graphicData>
            </a:graphic>
          </wp:inline>
        </w:drawing>
      </w:r>
    </w:p>
    <w:p>
      <w:pPr>
        <w:jc w:val="center"/>
      </w:pPr>
      <w:r>
        <w:rPr>
          <w:i/>
          <w:color w:val="7B8994"/>
          <w:sz w:val="18"/>
        </w:rPr>
        <w:t>Figure 11.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8.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9.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carries real signal: MARS selects better than a random candidate on every field, significantly so on modality and prompt_level. It does not beat the simplest informed policy: against always using the strongest generator it is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0" name="Picture 20"/>
            <wp:cNvGraphicFramePr>
              <a:graphicFrameLocks noChangeAspect="1"/>
            </wp:cNvGraphicFramePr>
            <a:graphic>
              <a:graphicData uri="http://schemas.openxmlformats.org/drawingml/2006/picture">
                <pic:pic>
                  <pic:nvPicPr>
                    <pic:cNvPr id="0" name="fig21_selection.png"/>
                    <pic:cNvPicPr/>
                  </pic:nvPicPr>
                  <pic:blipFill>
                    <a:blip r:embed="rId28"/>
                    <a:stretch>
                      <a:fillRect/>
                    </a:stretch>
                  </pic:blipFill>
                  <pic:spPr>
                    <a:xfrm>
                      <a:off x="0" y="0"/>
                      <a:ext cx="5760720" cy="1896507"/>
                    </a:xfrm>
                    <a:prstGeom prst="rect"/>
                  </pic:spPr>
                </pic:pic>
              </a:graphicData>
            </a:graphic>
          </wp:inline>
        </w:drawing>
      </w:r>
    </w:p>
    <w:p>
      <w:pPr>
        <w:jc w:val="center"/>
      </w:pPr>
      <w:r>
        <w:rPr>
          <w:i/>
          <w:color w:val="7B8994"/>
          <w:sz w:val="18"/>
        </w:rPr>
        <w:t>Figure 12. Selection quality on the judged segments, against both baselines, with paired intervals.</w:t>
      </w:r>
    </w:p>
    <w:p>
      <w:pPr>
        <w:pStyle w:val="Heading2"/>
      </w:pPr>
      <w:r>
        <w:t>Reporting layer</w:t>
      </w:r>
    </w:p>
    <w:p>
      <w:r>
        <w:rPr>
          <w:i w:val="0"/>
        </w:rPr>
        <w:t>An instrument was built to measure whether the reporting model's prose is grounded in the evidence packet it receives: every number asserted must appear in the packet, every cited record id must exist, prohibited content must be absent, and withheld metrics must be acknowledged. It was calibrated on the deterministic fallback, whose prose is grounded by construction and which the instrument scores at 1.0 with no false positives.</w:t>
      </w:r>
    </w:p>
    <w:p>
      <w:r>
        <w:rPr>
          <w:i w:val="0"/>
          <w:color w:val="C1666B"/>
        </w:rPr>
        <w:t>No groundedness figure is reported. Across all 11 children, 11 of 11 report generations fell back to the deterministic template: no locally served model produced output conforming to the required report schema. Two returned prose instead of the specified JSON array and one returned a JSON object of the wrong shape. In the local-only configuration the reporting layer therefore never executes as an LLM, and the reports a user would see are template-generated.</w:t>
      </w:r>
    </w:p>
    <w:p>
      <w:r>
        <w:br w:type="page"/>
      </w:r>
    </w:p>
    <w:p>
      <w:pPr>
        <w:pStyle w:val="Heading1"/>
      </w:pPr>
      <w:r>
        <w:t>Limitations</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The generator roster is three small local models. Results characterise this roster, not extraction quality in general.</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Transfer to the deployed input distribution is assumed, not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 LLM groundedness: no recorded evaluation artefact.</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1" name="Picture 21"/>
            <wp:cNvGraphicFramePr>
              <a:graphicFrameLocks noChangeAspect="1"/>
            </wp:cNvGraphicFramePr>
            <a:graphic>
              <a:graphicData uri="http://schemas.openxmlformats.org/drawingml/2006/picture">
                <pic:pic>
                  <pic:nvPicPr>
                    <pic:cNvPr id="0" name="fig4_pilot_superseded.png"/>
                    <pic:cNvPicPr/>
                  </pic:nvPicPr>
                  <pic:blipFill>
                    <a:blip r:embed="rId29"/>
                    <a:stretch>
                      <a:fillRect/>
                    </a:stretch>
                  </pic:blipFill>
                  <pic:spPr>
                    <a:xfrm>
                      <a:off x="0" y="0"/>
                      <a:ext cx="5760720" cy="2424476"/>
                    </a:xfrm>
                    <a:prstGeom prst="rect"/>
                  </pic:spPr>
                </pic:pic>
              </a:graphicData>
            </a:graphic>
          </wp:inline>
        </w:drawing>
      </w:r>
    </w:p>
    <w:p>
      <w:pPr>
        <w:jc w:val="center"/>
      </w:pPr>
      <w:r>
        <w:rPr>
          <w:i/>
          <w:color w:val="7B8994"/>
          <w:sz w:val="18"/>
        </w:rPr>
        <w:t>Figure I. Pilot field accuracy (superseded). Retained for provenance, not as a result.</w:t>
      </w:r>
    </w:p>
    <w:p>
      <w:pPr>
        <w:pStyle w:val="Heading1"/>
      </w:pPr>
      <w:r>
        <w:t>Reproducibility</w:t>
      </w:r>
    </w:p>
    <w:p>
      <w:r>
        <w:rPr>
          <w:i w:val="0"/>
        </w:rPr>
        <w:t>All results derive from 41 recorded artefacts, of which 25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