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7F9F8" w14:textId="72C3F174" w:rsidR="00462D54" w:rsidRDefault="00000000">
      <w:pPr>
        <w:pStyle w:val="Title"/>
        <w:jc w:val="center"/>
      </w:pPr>
      <w:r>
        <w:rPr>
          <w:b/>
        </w:rPr>
        <w:t>JMIR AI Manuscript: Risk Assessment</w:t>
      </w:r>
    </w:p>
    <w:p w14:paraId="3DFD6B72" w14:textId="77777777" w:rsidR="00462D54" w:rsidRDefault="00000000">
      <w:pPr>
        <w:jc w:val="center"/>
      </w:pPr>
      <w:r>
        <w:rPr>
          <w:i/>
        </w:rPr>
        <w:t>Critical issues ranked from most likely to block acceptance to lower-priority submission risks</w:t>
      </w:r>
    </w:p>
    <w:p w14:paraId="3E0FD1C6" w14:textId="77777777" w:rsidR="00462D54" w:rsidRDefault="00462D54"/>
    <w:tbl>
      <w:tblPr>
        <w:tblW w:w="0" w:type="auto"/>
        <w:jc w:val="center"/>
        <w:tblLook w:val="04A0" w:firstRow="1" w:lastRow="0" w:firstColumn="1" w:lastColumn="0" w:noHBand="0" w:noVBand="1"/>
      </w:tblPr>
      <w:tblGrid>
        <w:gridCol w:w="9936"/>
      </w:tblGrid>
      <w:tr w:rsidR="00462D54" w14:paraId="21EFEBC6" w14:textId="77777777">
        <w:trPr>
          <w:jc w:val="center"/>
        </w:trPr>
        <w:tc>
          <w:tcPr>
            <w:tcW w:w="9936" w:type="dxa"/>
            <w:shd w:val="clear" w:color="auto" w:fill="EAF2F8"/>
            <w:vAlign w:val="center"/>
          </w:tcPr>
          <w:p w14:paraId="7FEF7F34" w14:textId="61A42FA0" w:rsidR="00462D54" w:rsidRDefault="00000000">
            <w:r>
              <w:t>The core idea and novelty are publishable, but the manuscript in its current evidence state would most likely receive Major Revision rather than Acceptance. The strongest blockers are the safety gate between extraction and analytics, the unfinished model-independent held-out evaluation, and the mismatch between the ASDBank transcript distribution and the intended real-world intervention-note workflow.</w:t>
            </w:r>
          </w:p>
        </w:tc>
      </w:tr>
    </w:tbl>
    <w:p w14:paraId="2AE21178" w14:textId="77777777" w:rsidR="00462D54" w:rsidRDefault="00000000">
      <w:pPr>
        <w:pStyle w:val="Heading1"/>
      </w:pPr>
      <w:r>
        <w:t>CRITICAL ISSUES — Address before submission</w:t>
      </w:r>
    </w:p>
    <w:p w14:paraId="3DC4E091" w14:textId="77777777" w:rsidR="00462D54" w:rsidRDefault="00000000">
      <w:pPr>
        <w:pStyle w:val="Heading2"/>
      </w:pPr>
      <w:r>
        <w:t>1. Extraction performance is too weak to allow unverified AI output into longitudinal analytics</w:t>
      </w:r>
    </w:p>
    <w:p w14:paraId="44E7E874" w14:textId="77777777" w:rsidR="00462D54" w:rsidRDefault="00000000">
      <w:r>
        <w:rPr>
          <w:b/>
        </w:rPr>
        <w:t xml:space="preserve">Why a strict reviewer may object: </w:t>
      </w:r>
      <w:r>
        <w:t>Qwen 2.5 7B is the strongest single generator, but the reported performance remains modest: 43.1% mean categorical-field accuracy, 4.5% whole-record accuracy, and a substantial unsupported-assertion rate on gold-null opportunities. A deterministic schema validator can reject malformed values, but it cannot detect a semantically wrong value that is still a valid enum. If such a value enters the longitudinal evidence store, downstream deterministic analytics will faithfully compute trends from incorrect evidence.</w:t>
      </w:r>
    </w:p>
    <w:p w14:paraId="0FCD7273" w14:textId="77777777" w:rsidR="00462D54" w:rsidRDefault="00000000">
      <w:r>
        <w:rPr>
          <w:b/>
        </w:rPr>
        <w:t xml:space="preserve">Recommended action: </w:t>
      </w:r>
      <w:r>
        <w:t>If the application already requires interventionist verification/correction before an AI-derived record becomes analytics-eligible, state this as a mandatory gate and make it visually clear in the architecture. If not, make professional verification mandatory before submission.</w:t>
      </w:r>
    </w:p>
    <w:p w14:paraId="57AC641E" w14:textId="77777777" w:rsidR="00462D54" w:rsidRDefault="00000000">
      <w:pPr>
        <w:pStyle w:val="Heading2"/>
      </w:pPr>
      <w:r>
        <w:t>2. The unbiased held-out evaluation is unfinished</w:t>
      </w:r>
    </w:p>
    <w:p w14:paraId="0B89B189" w14:textId="77777777" w:rsidR="00462D54" w:rsidRDefault="00000000">
      <w:r>
        <w:rPr>
          <w:b/>
        </w:rPr>
        <w:t xml:space="preserve">Why a strict reviewer may object: </w:t>
      </w:r>
      <w:r>
        <w:t>The 330-segment main batch was selected partly on generator behavior. The model-independent 132-segment held-out set already shows a large selection effect: all 4 generators were jointly admissible on 12.4% of the main batch but only 2.3% of the held-out set. Without completed adjudication, the manuscript cannot report extraction accuracy, whole-record accuracy, or unsupported-assertion rates on an unbiased sample.</w:t>
      </w:r>
    </w:p>
    <w:p w14:paraId="3C6C980E" w14:textId="77777777" w:rsidR="00462D54" w:rsidRDefault="00000000">
      <w:r>
        <w:rPr>
          <w:b/>
        </w:rPr>
        <w:t xml:space="preserve">Recommended action: </w:t>
      </w:r>
      <w:r>
        <w:t>Finish held-out adjudication before submission. This is one of the highest-value improvements because the data and generator runs already exist.</w:t>
      </w:r>
    </w:p>
    <w:p w14:paraId="2D122F46" w14:textId="77777777" w:rsidR="00462D54" w:rsidRDefault="00000000">
      <w:pPr>
        <w:pStyle w:val="Heading2"/>
      </w:pPr>
      <w:r>
        <w:t>3. The evaluation data distribution does not match the application’s intended real-world input distribution</w:t>
      </w:r>
    </w:p>
    <w:p w14:paraId="2DAC5045" w14:textId="77777777" w:rsidR="00462D54" w:rsidRDefault="00000000">
      <w:r>
        <w:rPr>
          <w:b/>
        </w:rPr>
        <w:t xml:space="preserve">Why a strict reviewer may object: </w:t>
      </w:r>
      <w:r>
        <w:t>The intended workflow collects longitudinal observations written by parents, teachers, caregivers, trainers, and intervention professionals. The model evaluation instead uses ASDBank child-parent and child-investigator transcripts segmented into behavioral episodes. These are relevant autism-language data, but they are not the same type of notes the application is designed to process.</w:t>
      </w:r>
    </w:p>
    <w:p w14:paraId="4690379D" w14:textId="77777777" w:rsidR="00462D54" w:rsidRDefault="00000000">
      <w:r>
        <w:rPr>
          <w:b/>
        </w:rPr>
        <w:t xml:space="preserve">Recommended action: </w:t>
      </w:r>
      <w:r>
        <w:t>Best option: add a modest evaluation on realistic intervention-style observations validated by intervention specialists. If that is not possible before submission, describe the ASDBank experiment explicitly as a proxy/component evaluation and avoid claims that extraction has been validated on real intervention notes.</w:t>
      </w:r>
    </w:p>
    <w:p w14:paraId="25B265FE" w14:textId="77777777" w:rsidR="00462D54" w:rsidRDefault="00000000">
      <w:pPr>
        <w:pStyle w:val="Heading2"/>
      </w:pPr>
      <w:r>
        <w:lastRenderedPageBreak/>
        <w:t>4. The reporting LLM failed its own governance contract</w:t>
      </w:r>
    </w:p>
    <w:p w14:paraId="47FF8096" w14:textId="77777777" w:rsidR="00462D54" w:rsidRDefault="00000000">
      <w:r>
        <w:rPr>
          <w:b/>
        </w:rPr>
        <w:t xml:space="preserve">Why a strict reviewer may object: </w:t>
      </w:r>
      <w:r>
        <w:t>All 11 reports were structurally conformant and contained no prohibited diagnostic, treatment, causal, or prognostic content, but 0/11 passed governance validation because withheld analyses were not explicitly acknowledged. In addition, 6.6% of numeric assertions were absent from the evidence packet. A reviewer may ask why this component remains in the operational path if it failed the defined governance test.</w:t>
      </w:r>
    </w:p>
    <w:p w14:paraId="2FF4E6FD" w14:textId="77777777" w:rsidR="00462D54" w:rsidRDefault="00000000">
      <w:r>
        <w:rPr>
          <w:b/>
        </w:rPr>
        <w:t xml:space="preserve">Recommended action: </w:t>
      </w:r>
      <w:r>
        <w:t>Either (a) remediate the reporting layer, freeze the change, and run a second evaluation while preserving the original negative result, or (b) keep the generative reporting layer experimental and use a deterministic reporting fallback operationally until it passes governance.</w:t>
      </w:r>
    </w:p>
    <w:p w14:paraId="614E5259" w14:textId="77777777" w:rsidR="00462D54" w:rsidRDefault="00000000">
      <w:pPr>
        <w:pStyle w:val="Heading2"/>
      </w:pPr>
      <w:r>
        <w:t>5. Ethics/IRB status must cover more than the public corpus</w:t>
      </w:r>
    </w:p>
    <w:p w14:paraId="14BA0364" w14:textId="77777777" w:rsidR="00462D54" w:rsidRDefault="00000000">
      <w:r>
        <w:rPr>
          <w:b/>
        </w:rPr>
        <w:t xml:space="preserve">Why a strict reviewer may object: </w:t>
      </w:r>
      <w:r>
        <w:t>The study uses archival public child data, but it also analyzes annotations produced by two autism intervention specialists, including agreement changes across annotation rounds. Depending on the reviewing institution, those specialists may be treated as research participants, expert consultants, or another category. Manual application testing may also involve human contributors if their behavior is recorded as research data.</w:t>
      </w:r>
    </w:p>
    <w:p w14:paraId="3F20CBC0" w14:textId="77777777" w:rsidR="00462D54" w:rsidRDefault="00000000">
      <w:r>
        <w:rPr>
          <w:b/>
        </w:rPr>
        <w:t xml:space="preserve">Recommended action: </w:t>
      </w:r>
      <w:r>
        <w:t>Do not submit until the ethics determination is final and explicitly addresses the public corpus, specialist annotation/adjudication, and any human involvement in application testing. Report the exact determination wording and protocol number.</w:t>
      </w:r>
    </w:p>
    <w:p w14:paraId="683555F8" w14:textId="77777777" w:rsidR="00462D54" w:rsidRDefault="00000000">
      <w:pPr>
        <w:pStyle w:val="Heading1"/>
      </w:pPr>
      <w:r>
        <w:t>HIGH-PRIORITY ISSUES — Strongly recommended before submission</w:t>
      </w:r>
    </w:p>
    <w:p w14:paraId="61300766" w14:textId="77777777" w:rsidR="00462D54" w:rsidRDefault="00000000">
      <w:pPr>
        <w:pStyle w:val="Heading2"/>
      </w:pPr>
      <w:r>
        <w:t>6. The model generates 8 fields, but only 5 are evaluated</w:t>
      </w:r>
    </w:p>
    <w:p w14:paraId="0A98BB02" w14:textId="77777777" w:rsidR="00462D54" w:rsidRDefault="00000000">
      <w:r>
        <w:rPr>
          <w:b/>
        </w:rPr>
        <w:t xml:space="preserve">Why a strict reviewer may object: </w:t>
      </w:r>
      <w:r>
        <w:t>The production schema asks the model to generate behavior, domain, duration_seconds, goal_context, modality, outcome, prompt_context, and prompt_level. Only behavior plus the 4 categorical fields are evaluated. The remaining 3 fields have no reference standard in the current study.</w:t>
      </w:r>
    </w:p>
    <w:p w14:paraId="204B053C" w14:textId="77777777" w:rsidR="00462D54" w:rsidRDefault="00000000">
      <w:r>
        <w:rPr>
          <w:b/>
        </w:rPr>
        <w:t xml:space="preserve">Recommended action: </w:t>
      </w:r>
      <w:r>
        <w:t>Do not describe the complete extractor as validated. Either evaluate the 3 remaining fields, remove them from any validation claim, or ensure they cannot influence analytics without explicit professional verification.</w:t>
      </w:r>
    </w:p>
    <w:p w14:paraId="7914898A" w14:textId="77777777" w:rsidR="00462D54" w:rsidRDefault="00000000">
      <w:pPr>
        <w:pStyle w:val="Heading2"/>
      </w:pPr>
      <w:r>
        <w:t>7. Adequacy-router thresholds are deterministic but not clinically validated</w:t>
      </w:r>
    </w:p>
    <w:p w14:paraId="23ED5C8F" w14:textId="77777777" w:rsidR="00462D54" w:rsidRDefault="00000000">
      <w:r>
        <w:rPr>
          <w:b/>
        </w:rPr>
        <w:t xml:space="preserve">Why a strict reviewer may object: </w:t>
      </w:r>
      <w:r>
        <w:t>Rules such as 5 observations for an adequate state, 0.70 field completeness, 0.80 temporal-clustering ratio, at least 2 settings/contributors, and 50% goal coverage are transparent and deterministic, but determinism does not establish scientific or clinical validity.</w:t>
      </w:r>
    </w:p>
    <w:p w14:paraId="6404A34D" w14:textId="77777777" w:rsidR="00462D54" w:rsidRDefault="00000000">
      <w:r>
        <w:rPr>
          <w:b/>
        </w:rPr>
        <w:t xml:space="preserve">Recommended action: </w:t>
      </w:r>
      <w:r>
        <w:t>Call these configurable prototype governance thresholds, not validated clinical cutoffs. Add expert rationale or a sensitivity analysis if feasible.</w:t>
      </w:r>
    </w:p>
    <w:p w14:paraId="20F9BA82" w14:textId="77777777" w:rsidR="00462D54" w:rsidRDefault="00000000">
      <w:pPr>
        <w:pStyle w:val="Heading2"/>
      </w:pPr>
      <w:r>
        <w:t>8. The gold-standard expert description needs more methodological detail</w:t>
      </w:r>
    </w:p>
    <w:p w14:paraId="2774D888" w14:textId="77777777" w:rsidR="00462D54" w:rsidRDefault="00000000">
      <w:r>
        <w:rPr>
          <w:b/>
        </w:rPr>
        <w:t xml:space="preserve">Why a strict reviewer may object: </w:t>
      </w:r>
      <w:r>
        <w:t>The manuscript currently identifies the annotators as two autism intervention specialists, but reviewers need enough information to judge the credibility and reproducibility of the reference standard.</w:t>
      </w:r>
    </w:p>
    <w:p w14:paraId="48A3A1F0" w14:textId="77777777" w:rsidR="00462D54" w:rsidRDefault="00000000">
      <w:r>
        <w:rPr>
          <w:b/>
        </w:rPr>
        <w:lastRenderedPageBreak/>
        <w:t xml:space="preserve">Recommended action: </w:t>
      </w:r>
      <w:r>
        <w:t>Report their professional roles/qualifications, relevant years of experience, how they were prepared for the task, confirmation that both independently annotated the full required datasets, and how consensus adjudication was performed.</w:t>
      </w:r>
    </w:p>
    <w:p w14:paraId="4888476F" w14:textId="77777777" w:rsidR="00462D54" w:rsidRDefault="00000000">
      <w:pPr>
        <w:pStyle w:val="Heading2"/>
      </w:pPr>
      <w:r>
        <w:t>9. The manuscript risks becoming a ‘kitchen-sink’ paper</w:t>
      </w:r>
    </w:p>
    <w:p w14:paraId="2F293F99" w14:textId="77777777" w:rsidR="00462D54" w:rsidRDefault="00000000">
      <w:r>
        <w:rPr>
          <w:b/>
        </w:rPr>
        <w:t xml:space="preserve">Why a strict reviewer may object: </w:t>
      </w:r>
      <w:r>
        <w:t>The work includes application development, annotation-method refinement, generator evaluation, unsupported-inference analysis, MARS, adequacy routing, reporting governance, and end-to-end workflow implementation. Each element is legitimate, but the editorial question will be: what is the single primary contribution?</w:t>
      </w:r>
    </w:p>
    <w:p w14:paraId="5C7994FD" w14:textId="77777777" w:rsidR="00462D54" w:rsidRDefault="00000000">
      <w:r>
        <w:rPr>
          <w:b/>
        </w:rPr>
        <w:t xml:space="preserve">Recommended action: </w:t>
      </w:r>
      <w:r>
        <w:t>Maintain one clear hierarchy throughout: the governance-aware longitudinal intervention-support application is the primary contribution; annotation, extraction, MARS, and reporting studies are component evaluations explaining why the governance boundaries are necessary.</w:t>
      </w:r>
    </w:p>
    <w:p w14:paraId="3F55A7E5" w14:textId="77777777" w:rsidR="00462D54" w:rsidRDefault="00000000">
      <w:pPr>
        <w:pStyle w:val="Heading1"/>
      </w:pPr>
      <w:r>
        <w:t>MODERATE / LOWER-PRIORITY ISSUES — Important for acceptance and submission quality</w:t>
      </w:r>
    </w:p>
    <w:p w14:paraId="5416CAF1" w14:textId="77777777" w:rsidR="00462D54" w:rsidRDefault="00000000">
      <w:pPr>
        <w:pStyle w:val="Heading2"/>
      </w:pPr>
      <w:r>
        <w:t>10. No independent professional usability/workflow evaluation of the integrated application</w:t>
      </w:r>
    </w:p>
    <w:p w14:paraId="097455B9" w14:textId="77777777" w:rsidR="00462D54" w:rsidRDefault="00000000">
      <w:r>
        <w:rPr>
          <w:b/>
        </w:rPr>
        <w:t xml:space="preserve">Why a strict reviewer may object: </w:t>
      </w:r>
      <w:r>
        <w:t>Manual development testing shows that the application works functionally, but it does not yet show that independent interventionists can use it effectively, that it reduces review burden, or that it improves recognition of missing evidence without creating automation bias.</w:t>
      </w:r>
    </w:p>
    <w:p w14:paraId="4F094956" w14:textId="77777777" w:rsidR="00462D54" w:rsidRDefault="00000000">
      <w:r>
        <w:rPr>
          <w:b/>
        </w:rPr>
        <w:t xml:space="preserve">Recommended action: </w:t>
      </w:r>
      <w:r>
        <w:t>Keep benefit claims as intended or potential rather than demonstrated. If feasible, add a small independent workflow/usability evaluation; otherwise position it clearly as future validation.</w:t>
      </w:r>
    </w:p>
    <w:p w14:paraId="324F4BC0" w14:textId="77777777" w:rsidR="00462D54" w:rsidRDefault="00000000">
      <w:pPr>
        <w:pStyle w:val="Heading2"/>
      </w:pPr>
      <w:r>
        <w:t>11. Reproducibility and data-release details must be fully closed</w:t>
      </w:r>
    </w:p>
    <w:p w14:paraId="2719C09F" w14:textId="77777777" w:rsidR="00462D54" w:rsidRDefault="00000000">
      <w:r>
        <w:rPr>
          <w:b/>
        </w:rPr>
        <w:t xml:space="preserve">Why a strict reviewer may object: </w:t>
      </w:r>
      <w:r>
        <w:t>The manuscript makes strong reproducibility claims but still contains placeholders for the repository/archive URL, release tag, license, and final data-sharing statement. TalkBank/ASDBank redistribution terms also need to be respected for derived data and model outputs.</w:t>
      </w:r>
    </w:p>
    <w:p w14:paraId="21FF4C43" w14:textId="77777777" w:rsidR="00462D54" w:rsidRDefault="00000000">
      <w:r>
        <w:rPr>
          <w:b/>
        </w:rPr>
        <w:t xml:space="preserve">Recommended action: </w:t>
      </w:r>
      <w:r>
        <w:t>Before submission, finalize the repository/archive, release identifier, licensing language, and exactly which artifacts can be shared. If source-derived data cannot be redistributed, release code, schemas, hashes, prompts, and allowable derived artifacts instead.</w:t>
      </w:r>
    </w:p>
    <w:p w14:paraId="5A1D582A" w14:textId="77777777" w:rsidR="00462D54" w:rsidRDefault="00000000">
      <w:pPr>
        <w:pStyle w:val="Heading2"/>
      </w:pPr>
      <w:r>
        <w:t>12. Generative-AI disclosure and citation audit must be unusually rigorous</w:t>
      </w:r>
    </w:p>
    <w:p w14:paraId="32CC3B72" w14:textId="77777777" w:rsidR="00462D54" w:rsidRDefault="00000000">
      <w:r>
        <w:rPr>
          <w:b/>
        </w:rPr>
        <w:t xml:space="preserve">Why a strict reviewer may object: </w:t>
      </w:r>
      <w:r>
        <w:t>Generative AI was used both as the object of study and during software development, technical ideation, and manuscript drafting/editing. This creates a higher-than-usual disclosure and verification burden.</w:t>
      </w:r>
    </w:p>
    <w:p w14:paraId="60114560" w14:textId="77777777" w:rsidR="00462D54" w:rsidRDefault="00000000">
      <w:r>
        <w:rPr>
          <w:b/>
        </w:rPr>
        <w:t xml:space="preserve">Recommended action: </w:t>
      </w:r>
      <w:r>
        <w:t>Prepare a detailed JMIR-compliant AI-use disclosure, retain prompts/records as required, and independently verify every reference, DOI, statistic, model description, and factual claim before submission.</w:t>
      </w:r>
    </w:p>
    <w:p w14:paraId="119F6039" w14:textId="77777777" w:rsidR="00462D54" w:rsidRDefault="00000000">
      <w:pPr>
        <w:pStyle w:val="Heading1"/>
      </w:pPr>
      <w:r>
        <w:t>What I would NOT treat as fatal by itself</w:t>
      </w:r>
    </w:p>
    <w:p w14:paraId="2A3B3736" w14:textId="77777777" w:rsidR="00462D54" w:rsidRDefault="00000000">
      <w:r>
        <w:t xml:space="preserve">The following are limitations rather than automatic rejection reasons if they are reported transparently: only 11 children for cluster-bootstrap inference; the same specialist pair helping refine and then use the codebook; no </w:t>
      </w:r>
      <w:r>
        <w:lastRenderedPageBreak/>
        <w:t>third independent adjudicator; no frontier-model comparison; a negative MARS result; and the reporting-layer failure itself. Negative results can strengthen the paper when they are used to justify governance boundaries rather than hidden.</w:t>
      </w:r>
    </w:p>
    <w:p w14:paraId="3CC1D78D" w14:textId="77777777" w:rsidR="00462D54" w:rsidRDefault="00000000">
      <w:pPr>
        <w:pStyle w:val="Heading1"/>
      </w:pPr>
      <w:r>
        <w:t>Strict Reviewer Decision Today</w:t>
      </w:r>
    </w:p>
    <w:p w14:paraId="73771A41" w14:textId="77777777" w:rsidR="00462D54" w:rsidRDefault="00000000">
      <w:r>
        <w:rPr>
          <w:b/>
        </w:rPr>
        <w:t>Likely recommendation: Major Revision.</w:t>
      </w:r>
      <w:r>
        <w:t xml:space="preserve"> The core idea and novelty are strong enough for JMIR AI consideration, but the manuscript should not be submitted until the critical issues above are resolved or explicitly bounded. The most important pre-submission work is: </w:t>
      </w:r>
    </w:p>
    <w:p w14:paraId="3B372E3E" w14:textId="77777777" w:rsidR="00462D54" w:rsidRDefault="00000000">
      <w:pPr>
        <w:pStyle w:val="ListBullet"/>
      </w:pPr>
      <w:r>
        <w:t>Confirm a mandatory human verification gate before extracted fields can influence longitudinal analytics.</w:t>
      </w:r>
    </w:p>
    <w:p w14:paraId="4EF5D976" w14:textId="77777777" w:rsidR="00462D54" w:rsidRDefault="00000000">
      <w:pPr>
        <w:pStyle w:val="ListBullet"/>
      </w:pPr>
      <w:r>
        <w:t>Complete the 132-segment held-out adjudication and frozen scoring.</w:t>
      </w:r>
    </w:p>
    <w:p w14:paraId="48A47502" w14:textId="77777777" w:rsidR="00462D54" w:rsidRDefault="00000000">
      <w:pPr>
        <w:pStyle w:val="ListBullet"/>
      </w:pPr>
      <w:r>
        <w:t>Sharpen or supplement the evidence linking ASDBank-based component evaluation to the intended intervention-note workflow.</w:t>
      </w:r>
    </w:p>
    <w:p w14:paraId="6829B234" w14:textId="77777777" w:rsidR="00462D54" w:rsidRDefault="00000000">
      <w:pPr>
        <w:pStyle w:val="ListBullet"/>
      </w:pPr>
      <w:r>
        <w:t>Resolve the reporting-layer governance failure operationally or experimentally.</w:t>
      </w:r>
    </w:p>
    <w:p w14:paraId="22A664FC" w14:textId="77777777" w:rsidR="00462D54" w:rsidRDefault="00000000">
      <w:pPr>
        <w:pStyle w:val="ListBullet"/>
      </w:pPr>
      <w:r>
        <w:t>Close the ethics/IRB determination completely.</w:t>
      </w:r>
    </w:p>
    <w:sectPr w:rsidR="00462D5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CDDF7" w14:textId="77777777" w:rsidR="00FD459A" w:rsidRDefault="00FD459A">
      <w:pPr>
        <w:spacing w:after="0" w:line="240" w:lineRule="auto"/>
      </w:pPr>
      <w:r>
        <w:separator/>
      </w:r>
    </w:p>
  </w:endnote>
  <w:endnote w:type="continuationSeparator" w:id="0">
    <w:p w14:paraId="393A0EAE" w14:textId="77777777" w:rsidR="00FD459A" w:rsidRDefault="00FD45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595C" w14:textId="77777777" w:rsidR="00462D54" w:rsidRDefault="00000000">
    <w:pPr>
      <w:pStyle w:val="Footer"/>
      <w:jc w:val="center"/>
    </w:pPr>
    <w:r>
      <w:rPr>
        <w:color w:val="6E6E6E"/>
        <w:sz w:val="16"/>
      </w:rPr>
      <w:t>JMIR AI strict-review checklist | Prioritized pre-submission risks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76243" w14:textId="77777777" w:rsidR="00FD459A" w:rsidRDefault="00FD459A">
      <w:pPr>
        <w:spacing w:after="0" w:line="240" w:lineRule="auto"/>
      </w:pPr>
      <w:r>
        <w:separator/>
      </w:r>
    </w:p>
  </w:footnote>
  <w:footnote w:type="continuationSeparator" w:id="0">
    <w:p w14:paraId="181C8095" w14:textId="77777777" w:rsidR="00FD459A" w:rsidRDefault="00FD45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1987574">
    <w:abstractNumId w:val="8"/>
  </w:num>
  <w:num w:numId="2" w16cid:durableId="545409611">
    <w:abstractNumId w:val="6"/>
  </w:num>
  <w:num w:numId="3" w16cid:durableId="983776091">
    <w:abstractNumId w:val="5"/>
  </w:num>
  <w:num w:numId="4" w16cid:durableId="1547645264">
    <w:abstractNumId w:val="4"/>
  </w:num>
  <w:num w:numId="5" w16cid:durableId="1377588208">
    <w:abstractNumId w:val="7"/>
  </w:num>
  <w:num w:numId="6" w16cid:durableId="1268780990">
    <w:abstractNumId w:val="3"/>
  </w:num>
  <w:num w:numId="7" w16cid:durableId="81491440">
    <w:abstractNumId w:val="2"/>
  </w:num>
  <w:num w:numId="8" w16cid:durableId="1441149138">
    <w:abstractNumId w:val="1"/>
  </w:num>
  <w:num w:numId="9" w16cid:durableId="152719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817"/>
    <w:rsid w:val="0015074B"/>
    <w:rsid w:val="0029639D"/>
    <w:rsid w:val="00326F90"/>
    <w:rsid w:val="00462D54"/>
    <w:rsid w:val="00AA1D8D"/>
    <w:rsid w:val="00B47730"/>
    <w:rsid w:val="00CB0664"/>
    <w:rsid w:val="00D84867"/>
    <w:rsid w:val="00FC693F"/>
    <w:rsid w:val="00FD45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D5917E"/>
  <w14:defaultImageDpi w14:val="300"/>
  <w15:docId w15:val="{4107583A-70F1-4056-9925-7DA669734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44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1530</Words>
  <Characters>8722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Ambar Saha</cp:lastModifiedBy>
  <cp:revision>2</cp:revision>
  <dcterms:created xsi:type="dcterms:W3CDTF">2013-12-23T23:15:00Z</dcterms:created>
  <dcterms:modified xsi:type="dcterms:W3CDTF">2026-09-19T23:24:00Z</dcterms:modified>
  <cp:category/>
</cp:coreProperties>
</file>