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i w:val="0"/>
          <w:color w:val="164E63"/>
          <w:sz w:val="40"/>
        </w:rPr>
        <w:t>MDPI-Style Peer Review</w:t>
      </w:r>
    </w:p>
    <w:p>
      <w:pPr>
        <w:spacing w:after="40"/>
        <w:jc w:val="center"/>
      </w:pPr>
      <w:r>
        <w:rPr>
          <w:rFonts w:ascii="Aptos Display" w:hAnsi="Aptos Display"/>
          <w:b/>
          <w:i w:val="0"/>
          <w:color w:val="0F766E"/>
          <w:sz w:val="30"/>
        </w:rPr>
        <w:t>Unresolved and New Review Comments — Round 2</w:t>
      </w:r>
    </w:p>
    <w:p>
      <w:pPr>
        <w:spacing w:after="240"/>
        <w:jc w:val="center"/>
      </w:pPr>
      <w:r>
        <w:rPr>
          <w:rFonts w:ascii="Aptos" w:hAnsi="Aptos"/>
          <w:b w:val="0"/>
          <w:i/>
          <w:color w:val="475569"/>
          <w:sz w:val="19"/>
        </w:rPr>
        <w:t>Manuscript reviewed: Autism_AI_MDPI_Consolidated_Master_v7_Round1_Complete.docx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A7F3D0"/>
              <w:bottom w:val="single" w:sz="5" w:color="A7F3D0"/>
              <w:left w:val="single" w:sz="5" w:color="A7F3D0"/>
              <w:right w:val="single" w:sz="5" w:color="A7F3D0"/>
            </w:tcBorders>
          </w:tcPr>
          <w:p>
            <w:r>
              <w:rPr>
                <w:rFonts w:ascii="Aptos" w:hAnsi="Aptos"/>
                <w:b/>
                <w:i w:val="0"/>
                <w:color w:val="065F46"/>
                <w:sz w:val="21"/>
              </w:rPr>
              <w:t>Scope for this working review document</w:t>
            </w:r>
            <w:r>
              <w:br/>
            </w:r>
            <w:r>
              <w:rPr>
                <w:rFonts w:ascii="Aptos" w:hAnsi="Aptos"/>
                <w:b w:val="0"/>
                <w:i w:val="0"/>
                <w:sz w:val="20"/>
              </w:rPr>
              <w:t>Included: only review issues that remain unresolved or partially resolved after the v7 revision, plus legitimate new Round-2 comments.</w:t>
            </w:r>
            <w:r>
              <w:br/>
            </w:r>
            <w:r>
              <w:rPr>
                <w:rFonts w:ascii="Aptos" w:hAnsi="Aptos"/>
                <w:b w:val="0"/>
                <w:i/>
                <w:color w:val="475569"/>
                <w:sz w:val="20"/>
              </w:rPr>
              <w:t>Temporarily excluded at the author's request: citation updates, IRB/ethics determination, final end-to-end verification, and repository/archival-link details.</w:t>
            </w:r>
          </w:p>
        </w:tc>
      </w:tr>
    </w:tbl>
    <w:p/>
    <w:p>
      <w:pPr>
        <w:pStyle w:val="Heading1"/>
      </w:pPr>
      <w:r>
        <w:t>1. Review Status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440"/>
      </w:tblGrid>
      <w:tr>
        <w:tc>
          <w:tcPr>
            <w:tcW w:type="dxa" w:w="5040"/>
            <w:shd w:fill="164E63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Category</w:t>
            </w:r>
          </w:p>
        </w:tc>
        <w:tc>
          <w:tcPr>
            <w:tcW w:type="dxa" w:w="5040"/>
            <w:shd w:fill="164E63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Count</w:t>
            </w:r>
          </w:p>
        </w:tc>
      </w:tr>
      <w:tr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21"/>
              </w:rPr>
              <w:t>Original Round-1 comments carried forward (excluding requested deferrals)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21"/>
              </w:rPr>
              <w:t>New Round-2 comments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21"/>
              </w:rPr>
              <w:t>Total active comments in this document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21"/>
              </w:rPr>
              <w:t>9</w:t>
            </w:r>
          </w:p>
        </w:tc>
      </w:tr>
    </w:tbl>
    <w:p>
      <w:pPr>
        <w:spacing w:before="160" w:after="200"/>
      </w:pPr>
      <w:r>
        <w:rPr>
          <w:rFonts w:ascii="Aptos" w:hAnsi="Aptos"/>
          <w:b w:val="0"/>
          <w:i w:val="0"/>
          <w:sz w:val="21"/>
        </w:rPr>
        <w:t>Overall status: the major Round-1 methodological issues were incorporated substantially. The remaining scientific work is now concentrated in the evaluation-set interpretation, MARS uncertainty analysis, metric naming/interpretation, and a small number of reproducibility/limitation clarifications.</w:t>
      </w:r>
    </w:p>
    <w:p>
      <w:pPr>
        <w:pStyle w:val="Heading1"/>
      </w:pPr>
      <w:r>
        <w:t>2. Carried-Forward Round-1 Comments Still Unresolved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EDE9FE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5B21B6"/>
                <w:sz w:val="22"/>
              </w:rPr>
              <w:t>P-1  |  Submission Requirement  |  Complete remaining non-deferred manuscript declarations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5B21B6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Back matter — Funding; Author Contributions; Conflicts of Interest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5B21B6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These statements remain placeholders in v7. They are separate from the temporarily deferred ethics, citation, end-to-end, and repository items.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5B21B6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Before submission, replace the remaining placeholders with the final funding statement, CRediT author-contribution statement, and conflict-of-interest declaration, using only information that is factually accurate.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5B21B6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Pending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2400E"/>
                <w:sz w:val="22"/>
              </w:rPr>
              <w:t>P-2  |  Moderate  |  Corpus characteristics are acknowledged but not yet actually reported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 2.12; Section 4.9; planned Supplementary Material 5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manuscript now appropriately states that participant-level characteristics will be verified rather than inferred, but the actual age/developmental/language or per-corpus characteristics table has not yet been added. The child-level sample is small, so readers still lack the descriptive context needed to judge generalizability.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Add the verified corpus-characteristics table using repository metadata that is legitimately available under the source terms. Include only characteristics that can be directly supported; do not infer missing participant attributes.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Partially resolved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2400E"/>
                <w:sz w:val="22"/>
              </w:rPr>
              <w:t>P-3  |  Moderate  |  Promised supplementary methodological material must be fully populated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Supplementary Materials 1–7 (excluding repository/archival-link details)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manuscript now specifies a strong supplementary structure, but several methodological claims still depend on those materials actually being provided: the final codebook and schema rules, exact prompts/configuration, adequacy-router decision logic, extended reliability/confusion-matrix results, extended generator and MARS analyses, and authorization/access-control verification details.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Before submission, confirm that every promised non-repository supplementary item is present, internally consistent with the main text, and sufficient for an independent reviewer to understand the method and reproduce the reported calculations where the source-data license permits.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Pending</w:t>
      </w:r>
    </w:p>
    <w:p>
      <w:pPr>
        <w:pStyle w:val="Heading1"/>
      </w:pPr>
      <w:r>
        <w:t>3. New Round-2 Review Comments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DE8E8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91B1B"/>
                <w:sz w:val="22"/>
              </w:rPr>
              <w:t>R2-1  |  Major  |  The evaluation branch does not isolate model-tractability conditioning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Sections 2.12–2.13; 3.3; 4.4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model-conditioned main batch comes from the 2,442-segment universe built with a 273-per-child ceiling, whereas the separately frozen evaluation branch comes from the larger 3,371-segment universe built with a 455-per-child ceiling. Therefore, the lower agreement outside the main batch reflects both removal of the generator-judgeability filter and a changed candidate universe/distribution. The current interpretation can read as though the decline is caused specifically by removing model-tractability conditioning.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Preferred option: add a same-universe, unconditioned sensitivity analysis if the existing artifacts allow it without redesigning the study. Otherwise, narrow the wording throughout Methods/Results/Discussion to state that agreement was lower in the independently sampled higher-cap evaluation branch that did not use model tractability for inclusion. Do not attribute the entire difference causally to removal of tractability conditioning.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DE8E8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91B1B"/>
                <w:sz w:val="22"/>
              </w:rPr>
              <w:t>R2-2  |  Major  |  The identifier defect may have distorted the evaluation sampling frame beyond the 11 observed overlaps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 2.13; Figure 3; Sections 3.2, 4.4, and 4.9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post-hoc audit correctly identified 11 evaluation episodes that overlap the original pool because segment identifiers were cap-dependent rather than stable episode identities. Removing those 11 makes the analyzed 121 episodes non-overlapping with the pool, but it does not by itself prove that the original 2,051-record sampling frame was equivalent to the intended true non-pool frame. The faulty identifier exclusion could also have wrongly excluded some genuine non-pool episodes while retaining some pool episodes.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Using the now-available stable episode identity matching, reconstruct the intended exclusion frame diagnostically. Quantify how many true pool episodes were wrongly retained and how many true non-pool episodes were wrongly excluded by the original identifier-based filter. Do not redraw the sample after seeing results. Unless the frame distortion is shown to be negligible, describe the 121 as a post-audit overlap-excluded analysis from the originally frozen sampling frame rather than an unqualified primary unseen-episode sample.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DE8E8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91B1B"/>
                <w:sz w:val="22"/>
              </w:rPr>
              <w:t>R2-3  |  Major  |  MARS uncertainty analysis should preserve clustering by child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 2.16; Section 3.5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manuscript correctly uses child-cluster bootstrap intervals for annotation reliability and generator performance because multiple segments come from the same child. However, the MARS selector comparisons use a segment-level paired bootstrap on the 142 genuinely reranked segments. This treats within-child observations as independent and may underestimate uncertainty. In addition, the comparison against the strongest-generator policy reports a confidence interval for domain but not all four fields.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Recompute the paired MARS comparisons using a child-cluster paired bootstrap, retaining all eligible reranked segments for each sampled child. Report confidence intervals for all four fields against both the random-candidate comparator and the strongest-generator comparator. Update the interpretation if any conclusion changes.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91B1B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2400E"/>
                <w:sz w:val="22"/>
              </w:rPr>
              <w:t>R2-4  |  Moderate  |  The term “mean field abstention” is potentially misleading under the implemented scorer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Sections 2.14 and 2.17; Table 7; Section 3.4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scorer collapses omitted output and explicit model null into the same None representation. When the gold label is null, model null is counted as correctly_null; when the gold label is populated, model null is counted as missing/abstained. Consequently, the reported mean field abstention metric is not the model's overall frequency of declining to answer. It is closer to the rate of null/missing output on gold-populated opportunities. Using it to discuss overall model 'willingness to answer' can therefore overstate what the metric measures.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Rename the metric to a definition that matches its denominator, for example 'null/missing rate on gold-populated fields' or 'abstention on answerable opportunities.' If the manuscript wishes to characterize overall willingness to abstain, additionally report the total frequency of model-null/omitted output regardless of the gold label.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2400E"/>
                <w:sz w:val="22"/>
              </w:rPr>
              <w:t>R2-5  |  Moderate  |  The eight-turn episode cap is consequential and should be justified or limited explicitly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 2.12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segmentation procedure is now reproducible, but 4,710 of 9,018 episodes reached the eight-turn maximum. This means the cap is not merely a rare guardrail; it actively truncates more than half of the constructed episodes. Longer context could plausibly change whether prompts, outcomes, or other fields appear unsupported.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Explain how the eight-turn maximum was selected. If a sensitivity analysis is feasible using existing artifacts, report it. If not, explicitly acknowledge the high cap-hit rate as a task-definition limitation and note that extraction and gold-null frequencies may differ under longer context windows. A full re-annotation is not required solely for this point unless other evidence shows the cap materially biases the conclusions.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92400E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shd w:fill="E7F2FA"/>
            <w:tcBorders>
              <w:top w:val="single" w:sz="5" w:color="D1D5DB"/>
              <w:bottom w:val="single" w:sz="5" w:color="D1D5DB"/>
              <w:left w:val="single" w:sz="5" w:color="D1D5DB"/>
              <w:right w:val="single" w:sz="5" w:color="D1D5DB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369A1"/>
                <w:sz w:val="22"/>
              </w:rPr>
              <w:t>R2-6  |  Minor  |  The random-candidate comparator needs an exact reproducible definition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i w:val="0"/>
          <w:color w:val="0369A1"/>
          <w:sz w:val="21"/>
        </w:rPr>
        <w:t xml:space="preserve">Location: </w:t>
      </w:r>
      <w:r>
        <w:rPr>
          <w:rFonts w:ascii="Aptos" w:hAnsi="Aptos"/>
          <w:b w:val="0"/>
          <w:i w:val="0"/>
          <w:sz w:val="21"/>
        </w:rPr>
        <w:t>Sections 2.18 and 3.5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369A1"/>
          <w:sz w:val="21"/>
        </w:rPr>
        <w:t xml:space="preserve">Reviewer concern: </w:t>
      </w:r>
      <w:r>
        <w:rPr>
          <w:rFonts w:ascii="Aptos" w:hAnsi="Aptos"/>
          <w:b w:val="0"/>
          <w:i w:val="0"/>
          <w:sz w:val="21"/>
        </w:rPr>
        <w:t>The manuscript reports a 32.5% random-candidate baseline on the genuinely reranked subset but does not state whether this came from one seeded draw, repeated random draws, or an analytical expectation over available candidates. The seed/replication rule is also not stated. The 'strongest-generator' comparator should likewise be defined precisely when the nominal strongest generator is not among the reviewable candidates for a segment.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369A1"/>
          <w:sz w:val="21"/>
        </w:rPr>
        <w:t xml:space="preserve">Required action: </w:t>
      </w:r>
      <w:r>
        <w:rPr>
          <w:rFonts w:ascii="Aptos" w:hAnsi="Aptos"/>
          <w:b w:val="0"/>
          <w:i w:val="0"/>
          <w:sz w:val="21"/>
        </w:rPr>
        <w:t>State exactly how the random baseline was calculated and make it reproducible. Prefer an analytical expected-random result or repeated seeded draws over a single arbitrary draw. Also define the strongest-generator policy for segments where that generator has no reviewable candidate.</w:t>
      </w:r>
    </w:p>
    <w:p>
      <w:pPr>
        <w:spacing w:after="160" w:line="252" w:lineRule="auto"/>
      </w:pPr>
      <w:r>
        <w:rPr>
          <w:rFonts w:ascii="Aptos" w:hAnsi="Aptos"/>
          <w:b/>
          <w:i w:val="0"/>
          <w:color w:val="0369A1"/>
          <w:sz w:val="21"/>
        </w:rPr>
        <w:t xml:space="preserve">Status: </w:t>
      </w:r>
      <w:r>
        <w:rPr>
          <w:rFonts w:ascii="Aptos" w:hAnsi="Aptos"/>
          <w:b w:val="0"/>
          <w:i w:val="0"/>
          <w:sz w:val="21"/>
        </w:rPr>
        <w:t>Open</w:t>
      </w:r>
    </w:p>
    <w:p>
      <w:pPr>
        <w:pStyle w:val="Heading1"/>
      </w:pPr>
      <w:r>
        <w:t>4. Recommended Order of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7992"/>
      </w:tblGrid>
      <w:tr>
        <w:tc>
          <w:tcPr>
            <w:tcW w:type="dxa" w:w="3360"/>
            <w:shd w:fill="0F766E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360"/>
            <w:shd w:fill="0F766E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Comment</w:t>
            </w:r>
          </w:p>
        </w:tc>
        <w:tc>
          <w:tcPr>
            <w:tcW w:type="dxa" w:w="3360"/>
            <w:shd w:fill="0F766E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Next action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R2-2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Audit the true evaluation sampling frame using stable episode identity.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R2-1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Correct or narrow the interpretation of the main-batch versus evaluation-branch comparison.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R2-3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Recompute MARS comparison uncertainty using child-cluster paired bootstrap.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4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R2-4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Rename/clarify the abstention metric and, if desired, add overall model-null frequency.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R2-5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Justify the eight-turn segmentation cap or add the limitation explicitly.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R2-6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Define the random and strongest-generator comparison policies precisely.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P-2 / P-3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Finish the corpus-characteristics and non-repository supplementary materials.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9"/>
              </w:rPr>
              <w:t>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/>
                <w:i w:val="0"/>
                <w:sz w:val="19"/>
              </w:rPr>
              <w:t>P-1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E5E7EB"/>
            </w:tcBorders>
          </w:tcPr>
          <w:p>
            <w:r>
              <w:rPr>
                <w:rFonts w:ascii="Aptos" w:hAnsi="Aptos"/>
                <w:b w:val="0"/>
                <w:i w:val="0"/>
                <w:sz w:val="19"/>
              </w:rPr>
              <w:t>Complete the remaining manuscript declarations before submission.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i w:val="0"/>
                <w:color w:val="164E63"/>
                <w:sz w:val="21"/>
              </w:rPr>
              <w:t xml:space="preserve">Reviewer note: </w:t>
            </w:r>
            <w:r>
              <w:rPr>
                <w:rFonts w:ascii="Aptos" w:hAnsi="Aptos"/>
                <w:b w:val="0"/>
                <w:i w:val="0"/>
                <w:sz w:val="20"/>
              </w:rPr>
              <w:t>Resolved Round-1 comments are intentionally omitted from this document. This file is meant to be the active punch list for the next manuscript iteration, not a historical archive of every earlier concern.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>MDPI-style internal peer-review working document — Round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