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i w:val="0"/>
          <w:color w:val="164E63"/>
          <w:sz w:val="38"/>
        </w:rPr>
        <w:t>MDPI-Style Peer Review</w:t>
      </w:r>
    </w:p>
    <w:p>
      <w:pPr>
        <w:spacing w:after="40"/>
        <w:jc w:val="center"/>
      </w:pPr>
      <w:r>
        <w:rPr>
          <w:rFonts w:ascii="Aptos Display" w:hAnsi="Aptos Display"/>
          <w:b/>
          <w:i w:val="0"/>
          <w:color w:val="0F766E"/>
          <w:sz w:val="31"/>
        </w:rPr>
        <w:t>Round 8 - Open Review Comments</w:t>
      </w:r>
    </w:p>
    <w:p>
      <w:pPr>
        <w:spacing w:after="200"/>
        <w:jc w:val="center"/>
      </w:pPr>
      <w:r>
        <w:rPr>
          <w:rFonts w:ascii="Aptos" w:hAnsi="Aptos"/>
          <w:b w:val="0"/>
          <w:i/>
          <w:color w:val="475569"/>
          <w:sz w:val="18"/>
        </w:rPr>
        <w:t>Manuscript reviewed: Autism_Q1_V11.docx</w:t>
      </w:r>
    </w:p>
    <w:tbl>
      <w:tblPr>
        <w:tblW w:type="auto" w:w="0"/>
        <w:jc w:val="center"/>
        <w:tblLook w:firstColumn="1" w:firstRow="1" w:lastColumn="0" w:lastRow="0" w:noHBand="0" w:noVBand="1" w:val="04A0"/>
      </w:tblPr>
      <w:tblGrid>
        <w:gridCol w:w="10166"/>
      </w:tblGrid>
      <w:tr>
        <w:tc>
          <w:tcPr>
            <w:tcW w:type="dxa" w:w="10166"/>
            <w:shd w:fill="ECFDF5"/>
            <w:tcBorders>
              <w:top w:val="single" w:sz="5" w:color="A7F3D0"/>
              <w:left w:val="single" w:sz="5" w:color="A7F3D0"/>
              <w:bottom w:val="single" w:sz="5" w:color="A7F3D0"/>
              <w:right w:val="single" w:sz="5" w:color="A7F3D0"/>
            </w:tcBorders>
            <w:tcMar>
              <w:top w:w="90" w:type="dxa"/>
              <w:start w:w="115" w:type="dxa"/>
              <w:bottom w:w="90" w:type="dxa"/>
              <w:end w:w="115" w:type="dxa"/>
            </w:tcMar>
          </w:tcPr>
          <w:p>
            <w:r>
              <w:rPr>
                <w:rFonts w:ascii="Aptos" w:hAnsi="Aptos"/>
                <w:b/>
                <w:i w:val="0"/>
                <w:color w:val="065F46"/>
                <w:sz w:val="20"/>
              </w:rPr>
              <w:t>Scope</w:t>
            </w:r>
            <w:r>
              <w:br/>
            </w:r>
            <w:r>
              <w:rPr>
                <w:rFonts w:ascii="Aptos" w:hAnsi="Aptos"/>
                <w:b w:val="0"/>
                <w:i w:val="0"/>
                <w:sz w:val="20"/>
              </w:rPr>
              <w:t>This document contains only the two new open Round 8 review comments. All Round 7 comments are considered resolved. Known parked submission items (IRB/ethics, final end-to-end verification, citation pass, repository/Zenodo, final supplements, and back-matter completion) are intentionally excluded.</w:t>
            </w:r>
          </w:p>
        </w:tc>
      </w:tr>
    </w:tbl>
    <w:p/>
    <w:p>
      <w:pPr>
        <w:pStyle w:val="Heading1"/>
      </w:pPr>
      <w:r>
        <w:t>Round 8 Review Summary</w:t>
      </w:r>
    </w:p>
    <w:tbl>
      <w:tblPr>
        <w:tblStyle w:val="TableGrid"/>
        <w:tblW w:type="auto" w:w="0"/>
        <w:jc w:val="center"/>
        <w:tblLook w:firstColumn="1" w:firstRow="1" w:lastColumn="0" w:lastRow="0" w:noHBand="0" w:noVBand="1" w:val="04A0"/>
      </w:tblPr>
      <w:tblGrid>
        <w:gridCol w:w="5083"/>
        <w:gridCol w:w="5083"/>
      </w:tblGrid>
      <w:tr>
        <w:tc>
          <w:tcPr>
            <w:tcW w:type="dxa" w:w="5083"/>
            <w:shd w:fill="164E63"/>
          </w:tcPr>
          <w:p>
            <w:r>
              <w:rPr>
                <w:rFonts w:ascii="Aptos" w:hAnsi="Aptos"/>
                <w:b/>
                <w:i w:val="0"/>
                <w:color w:val="FFFFFF"/>
                <w:sz w:val="19"/>
              </w:rPr>
              <w:t>Severity</w:t>
            </w:r>
          </w:p>
        </w:tc>
        <w:tc>
          <w:tcPr>
            <w:tcW w:type="dxa" w:w="5083"/>
            <w:shd w:fill="164E63"/>
          </w:tcPr>
          <w:p>
            <w:r>
              <w:rPr>
                <w:rFonts w:ascii="Aptos" w:hAnsi="Aptos"/>
                <w:b/>
                <w:i w:val="0"/>
                <w:color w:val="FFFFFF"/>
                <w:sz w:val="19"/>
              </w:rPr>
              <w:t>Count</w:t>
            </w:r>
          </w:p>
        </w:tc>
      </w:tr>
      <w:tr>
        <w:tc>
          <w:tcPr>
            <w:tcW w:type="dxa" w:w="5083"/>
            <w:vAlign w:val="top"/>
            <w:tcMar>
              <w:top w:w="60" w:type="dxa"/>
              <w:start w:w="80" w:type="dxa"/>
              <w:bottom w:w="60" w:type="dxa"/>
              <w:end w:w="80" w:type="dxa"/>
            </w:tcMar>
          </w:tcPr>
          <w:p>
            <w:r>
              <w:rPr>
                <w:rFonts w:ascii="Aptos" w:hAnsi="Aptos"/>
                <w:b w:val="0"/>
                <w:i w:val="0"/>
                <w:sz w:val="18"/>
              </w:rPr>
              <w:t>Major</w:t>
            </w:r>
          </w:p>
        </w:tc>
        <w:tc>
          <w:tcPr>
            <w:tcW w:type="dxa" w:w="5083"/>
            <w:vAlign w:val="top"/>
            <w:tcMar>
              <w:top w:w="60" w:type="dxa"/>
              <w:start w:w="80" w:type="dxa"/>
              <w:bottom w:w="60" w:type="dxa"/>
              <w:end w:w="80" w:type="dxa"/>
            </w:tcMar>
          </w:tcPr>
          <w:p>
            <w:r>
              <w:rPr>
                <w:rFonts w:ascii="Aptos" w:hAnsi="Aptos"/>
                <w:b w:val="0"/>
                <w:i w:val="0"/>
                <w:sz w:val="18"/>
              </w:rPr>
              <w:t>0</w:t>
            </w:r>
          </w:p>
        </w:tc>
      </w:tr>
      <w:tr>
        <w:tc>
          <w:tcPr>
            <w:tcW w:type="dxa" w:w="5083"/>
            <w:vAlign w:val="top"/>
            <w:tcMar>
              <w:top w:w="60" w:type="dxa"/>
              <w:start w:w="80" w:type="dxa"/>
              <w:bottom w:w="60" w:type="dxa"/>
              <w:end w:w="80" w:type="dxa"/>
            </w:tcMar>
          </w:tcPr>
          <w:p>
            <w:r>
              <w:rPr>
                <w:rFonts w:ascii="Aptos" w:hAnsi="Aptos"/>
                <w:b w:val="0"/>
                <w:i w:val="0"/>
                <w:sz w:val="18"/>
              </w:rPr>
              <w:t>Moderate</w:t>
            </w:r>
          </w:p>
        </w:tc>
        <w:tc>
          <w:tcPr>
            <w:tcW w:type="dxa" w:w="5083"/>
            <w:vAlign w:val="top"/>
            <w:tcMar>
              <w:top w:w="60" w:type="dxa"/>
              <w:start w:w="80" w:type="dxa"/>
              <w:bottom w:w="60" w:type="dxa"/>
              <w:end w:w="80" w:type="dxa"/>
            </w:tcMar>
          </w:tcPr>
          <w:p>
            <w:r>
              <w:rPr>
                <w:rFonts w:ascii="Aptos" w:hAnsi="Aptos"/>
                <w:b w:val="0"/>
                <w:i w:val="0"/>
                <w:sz w:val="18"/>
              </w:rPr>
              <w:t>1</w:t>
            </w:r>
          </w:p>
        </w:tc>
      </w:tr>
      <w:tr>
        <w:tc>
          <w:tcPr>
            <w:tcW w:type="dxa" w:w="5083"/>
            <w:vAlign w:val="top"/>
            <w:tcMar>
              <w:top w:w="60" w:type="dxa"/>
              <w:start w:w="80" w:type="dxa"/>
              <w:bottom w:w="60" w:type="dxa"/>
              <w:end w:w="80" w:type="dxa"/>
            </w:tcMar>
          </w:tcPr>
          <w:p>
            <w:r>
              <w:rPr>
                <w:rFonts w:ascii="Aptos" w:hAnsi="Aptos"/>
                <w:b w:val="0"/>
                <w:i w:val="0"/>
                <w:sz w:val="18"/>
              </w:rPr>
              <w:t>Minor / Moderate</w:t>
            </w:r>
          </w:p>
        </w:tc>
        <w:tc>
          <w:tcPr>
            <w:tcW w:type="dxa" w:w="5083"/>
            <w:vAlign w:val="top"/>
            <w:tcMar>
              <w:top w:w="60" w:type="dxa"/>
              <w:start w:w="80" w:type="dxa"/>
              <w:bottom w:w="60" w:type="dxa"/>
              <w:end w:w="80" w:type="dxa"/>
            </w:tcMar>
          </w:tcPr>
          <w:p>
            <w:r>
              <w:rPr>
                <w:rFonts w:ascii="Aptos" w:hAnsi="Aptos"/>
                <w:b w:val="0"/>
                <w:i w:val="0"/>
                <w:sz w:val="18"/>
              </w:rPr>
              <w:t>1</w:t>
            </w:r>
          </w:p>
        </w:tc>
      </w:tr>
    </w:tbl>
    <w:p/>
    <w:p>
      <w:pPr>
        <w:pStyle w:val="Heading1"/>
      </w:pPr>
      <w:r>
        <w:t>Open Review Comments</w:t>
      </w:r>
    </w:p>
    <w:tbl>
      <w:tblPr>
        <w:tblW w:type="auto" w:w="0"/>
        <w:jc w:val="center"/>
        <w:tblLook w:firstColumn="1" w:firstRow="1" w:lastColumn="0" w:lastRow="0" w:noHBand="0" w:noVBand="1" w:val="04A0"/>
      </w:tblPr>
      <w:tblGrid>
        <w:gridCol w:w="10166"/>
      </w:tblGrid>
      <w:tr>
        <w:tc>
          <w:tcPr>
            <w:tcW w:type="dxa" w:w="10166"/>
            <w:shd w:fill="FFF4D6"/>
            <w:tcBorders>
              <w:top w:val="single" w:sz="5" w:color="D1D5DB"/>
              <w:left w:val="single" w:sz="5" w:color="D1D5DB"/>
              <w:bottom w:val="single" w:sz="5" w:color="D1D5DB"/>
              <w:right w:val="single" w:sz="5" w:color="D1D5DB"/>
            </w:tcBorders>
            <w:tcMar>
              <w:top w:w="90" w:type="dxa"/>
              <w:start w:w="115" w:type="dxa"/>
              <w:bottom w:w="90" w:type="dxa"/>
              <w:end w:w="115" w:type="dxa"/>
            </w:tcMar>
          </w:tcPr>
          <w:p>
            <w:r>
              <w:rPr>
                <w:rFonts w:ascii="Aptos" w:hAnsi="Aptos"/>
                <w:b/>
                <w:i w:val="0"/>
                <w:color w:val="92400E"/>
                <w:sz w:val="22"/>
              </w:rPr>
              <w:t>R8-1 | Moderate | Deterministic universe construction may create temporal/session-order sampling bias</w:t>
            </w:r>
          </w:p>
        </w:tc>
      </w:tr>
    </w:tbl>
    <w:p>
      <w:pPr>
        <w:spacing w:after="80" w:line="252" w:lineRule="auto"/>
      </w:pPr>
      <w:r>
        <w:rPr>
          <w:rFonts w:ascii="Aptos" w:hAnsi="Aptos"/>
          <w:b/>
          <w:i w:val="0"/>
          <w:color w:val="92400E"/>
          <w:sz w:val="20"/>
        </w:rPr>
        <w:t xml:space="preserve">Location: </w:t>
      </w:r>
      <w:r>
        <w:rPr>
          <w:rFonts w:ascii="Aptos" w:hAnsi="Aptos"/>
          <w:b w:val="0"/>
          <w:i w:val="0"/>
          <w:sz w:val="20"/>
        </w:rPr>
        <w:t>Sections 2.12-2.13 and 4.9</w:t>
      </w:r>
    </w:p>
    <w:p>
      <w:pPr>
        <w:spacing w:after="80" w:line="252" w:lineRule="auto"/>
      </w:pPr>
      <w:r>
        <w:rPr>
          <w:rFonts w:ascii="Aptos" w:hAnsi="Aptos"/>
          <w:b/>
          <w:i w:val="0"/>
          <w:color w:val="92400E"/>
          <w:sz w:val="20"/>
        </w:rPr>
        <w:t xml:space="preserve">Reviewer concern: </w:t>
      </w:r>
      <w:r>
        <w:rPr>
          <w:rFonts w:ascii="Aptos" w:hAnsi="Aptos"/>
          <w:b w:val="0"/>
          <w:i w:val="0"/>
          <w:sz w:val="20"/>
        </w:rPr>
        <w:t>Within each child-by-episode-type stratum, the universe builder retains the earliest episodes in transcript order until the per-child ceiling is reached. Because the source corpora are longitudinal, this can preferentially retain earlier visits or sessions when an episode type contains more observations than the allocated capacity. The lower-cap main universe (273 per child) and higher-cap evaluation universe (455 per child) may therefore differ not only in size but also in how far they extend through each child's longitudinal record. The manuscript appropriately avoids causal attribution between branches, but the temporal representativeness of the constructed universes is not yet characterized.</w:t>
      </w:r>
    </w:p>
    <w:p>
      <w:pPr>
        <w:spacing w:after="80" w:line="252" w:lineRule="auto"/>
      </w:pPr>
      <w:r>
        <w:rPr>
          <w:rFonts w:ascii="Aptos" w:hAnsi="Aptos"/>
          <w:b/>
          <w:i w:val="0"/>
          <w:color w:val="92400E"/>
          <w:sz w:val="20"/>
        </w:rPr>
        <w:t xml:space="preserve">Required action: </w:t>
      </w:r>
      <w:r>
        <w:rPr>
          <w:rFonts w:ascii="Aptos" w:hAnsi="Aptos"/>
          <w:b w:val="0"/>
          <w:i w:val="0"/>
          <w:sz w:val="20"/>
        </w:rPr>
        <w:t>Report a simple session/longitudinal-coverage diagnostic, such as the number or proportion of sessions represented per child and the distribution of relative session position in the 2,442-segment universe, 3,371-segment universe, 330 main batch, and preferably the post-audit 121 evaluation set. If early-session enrichment is present, acknowledge it in the Limitations. Do not redraw the frozen samples. A new model experiment is unnecessary unless the diagnostic reveals a substantial imbalance.</w:t>
      </w:r>
    </w:p>
    <w:p>
      <w:pPr>
        <w:spacing w:after="80" w:line="252" w:lineRule="auto"/>
      </w:pPr>
      <w:r>
        <w:rPr>
          <w:rFonts w:ascii="Aptos" w:hAnsi="Aptos"/>
          <w:b/>
          <w:i w:val="0"/>
          <w:color w:val="92400E"/>
          <w:sz w:val="20"/>
        </w:rPr>
        <w:t xml:space="preserve">Status: </w:t>
      </w:r>
      <w:r>
        <w:rPr>
          <w:rFonts w:ascii="Aptos" w:hAnsi="Aptos"/>
          <w:b w:val="0"/>
          <w:i w:val="0"/>
          <w:sz w:val="20"/>
        </w:rPr>
        <w:t>Open</w:t>
      </w:r>
    </w:p>
    <w:tbl>
      <w:tblPr>
        <w:tblW w:type="auto" w:w="0"/>
        <w:jc w:val="center"/>
        <w:tblLook w:firstColumn="1" w:firstRow="1" w:lastColumn="0" w:lastRow="0" w:noHBand="0" w:noVBand="1" w:val="04A0"/>
      </w:tblPr>
      <w:tblGrid>
        <w:gridCol w:w="10166"/>
      </w:tblGrid>
      <w:tr>
        <w:tc>
          <w:tcPr>
            <w:tcW w:type="dxa" w:w="10166"/>
            <w:shd w:fill="F4E8FF"/>
            <w:tcBorders>
              <w:top w:val="single" w:sz="5" w:color="D1D5DB"/>
              <w:left w:val="single" w:sz="5" w:color="D1D5DB"/>
              <w:bottom w:val="single" w:sz="5" w:color="D1D5DB"/>
              <w:right w:val="single" w:sz="5" w:color="D1D5DB"/>
            </w:tcBorders>
            <w:tcMar>
              <w:top w:w="90" w:type="dxa"/>
              <w:start w:w="115" w:type="dxa"/>
              <w:bottom w:w="90" w:type="dxa"/>
              <w:end w:w="115" w:type="dxa"/>
            </w:tcMar>
          </w:tcPr>
          <w:p>
            <w:r>
              <w:rPr>
                <w:rFonts w:ascii="Aptos" w:hAnsi="Aptos"/>
                <w:b/>
                <w:i w:val="0"/>
                <w:color w:val="6B21A8"/>
                <w:sz w:val="22"/>
              </w:rPr>
              <w:t>R8-2 | Minor / Moderate | Chronology of the generative-report governance validator should be stated</w:t>
            </w:r>
          </w:p>
        </w:tc>
      </w:tr>
    </w:tbl>
    <w:p>
      <w:pPr>
        <w:spacing w:after="80" w:line="252" w:lineRule="auto"/>
      </w:pPr>
      <w:r>
        <w:rPr>
          <w:rFonts w:ascii="Aptos" w:hAnsi="Aptos"/>
          <w:b/>
          <w:i w:val="0"/>
          <w:color w:val="6B21A8"/>
          <w:sz w:val="20"/>
        </w:rPr>
        <w:t xml:space="preserve">Location: </w:t>
      </w:r>
      <w:r>
        <w:rPr>
          <w:rFonts w:ascii="Aptos" w:hAnsi="Aptos"/>
          <w:b w:val="0"/>
          <w:i w:val="0"/>
          <w:sz w:val="20"/>
        </w:rPr>
        <w:t>Sections 2.19, 3.6, and 4.6</w:t>
      </w:r>
    </w:p>
    <w:p>
      <w:pPr>
        <w:spacing w:after="80" w:line="252" w:lineRule="auto"/>
      </w:pPr>
      <w:r>
        <w:rPr>
          <w:rFonts w:ascii="Aptos" w:hAnsi="Aptos"/>
          <w:b/>
          <w:i w:val="0"/>
          <w:color w:val="6B21A8"/>
          <w:sz w:val="20"/>
        </w:rPr>
        <w:t xml:space="preserve">Reviewer concern: </w:t>
      </w:r>
      <w:r>
        <w:rPr>
          <w:rFonts w:ascii="Aptos" w:hAnsi="Aptos"/>
          <w:b w:val="0"/>
          <w:i w:val="0"/>
          <w:sz w:val="20"/>
        </w:rPr>
        <w:t>The 0/11 generative-report governance result is scientifically important because it directly motivated removal of generative reporting from the operational path. The validator is now well defined, but the manuscript does not state whether the four pass/fail criteria were fixed before generating or inspecting the 11 reports, or whether some criteria were formalized after reviewing the outputs.</w:t>
      </w:r>
    </w:p>
    <w:p>
      <w:pPr>
        <w:spacing w:after="80" w:line="252" w:lineRule="auto"/>
      </w:pPr>
      <w:r>
        <w:rPr>
          <w:rFonts w:ascii="Aptos" w:hAnsi="Aptos"/>
          <w:b/>
          <w:i w:val="0"/>
          <w:color w:val="6B21A8"/>
          <w:sz w:val="20"/>
        </w:rPr>
        <w:t xml:space="preserve">Required action: </w:t>
      </w:r>
      <w:r>
        <w:rPr>
          <w:rFonts w:ascii="Aptos" w:hAnsi="Aptos"/>
          <w:b w:val="0"/>
          <w:i w:val="0"/>
          <w:sz w:val="20"/>
        </w:rPr>
        <w:t>Add one sentence specifying the chronology. If the validator and criteria were frozen before report generation/evaluation, state that explicitly and preferably identify the corresponding artifact or version. If they were formalized after reviewing the reports, describe the experiment as a formative or post-hoc governance evaluation rather than implying prospectively fixed acceptance criteria. No new generative run is required.</w:t>
      </w:r>
    </w:p>
    <w:p>
      <w:pPr>
        <w:spacing w:after="80" w:line="252" w:lineRule="auto"/>
      </w:pPr>
      <w:r>
        <w:rPr>
          <w:rFonts w:ascii="Aptos" w:hAnsi="Aptos"/>
          <w:b/>
          <w:i w:val="0"/>
          <w:color w:val="6B21A8"/>
          <w:sz w:val="20"/>
        </w:rPr>
        <w:t xml:space="preserve">Status: </w:t>
      </w:r>
      <w:r>
        <w:rPr>
          <w:rFonts w:ascii="Aptos" w:hAnsi="Aptos"/>
          <w:b w:val="0"/>
          <w:i w:val="0"/>
          <w:sz w:val="20"/>
        </w:rPr>
        <w:t>Open</w:t>
      </w:r>
    </w:p>
    <w:p/>
    <w:tbl>
      <w:tblPr>
        <w:tblW w:type="auto" w:w="0"/>
        <w:jc w:val="center"/>
        <w:tblLook w:firstColumn="1" w:firstRow="1" w:lastColumn="0" w:lastRow="0" w:noHBand="0" w:noVBand="1" w:val="04A0"/>
      </w:tblPr>
      <w:tblGrid>
        <w:gridCol w:w="10166"/>
      </w:tblGrid>
      <w:tr>
        <w:tc>
          <w:tcPr>
            <w:tcW w:type="dxa" w:w="10166"/>
            <w:shd w:fill="F8FAFC"/>
            <w:tcBorders>
              <w:top w:val="single" w:sz="4" w:color="CBD5E1"/>
              <w:left w:val="single" w:sz="4" w:color="CBD5E1"/>
              <w:bottom w:val="single" w:sz="4" w:color="CBD5E1"/>
              <w:right w:val="single" w:sz="4" w:color="CBD5E1"/>
            </w:tcBorders>
            <w:tcMar>
              <w:top w:w="90" w:type="dxa"/>
              <w:start w:w="115" w:type="dxa"/>
              <w:bottom w:w="90" w:type="dxa"/>
              <w:end w:w="115" w:type="dxa"/>
            </w:tcMar>
          </w:tcPr>
          <w:p>
            <w:r>
              <w:rPr>
                <w:rFonts w:ascii="Aptos" w:hAnsi="Aptos"/>
                <w:b/>
                <w:i w:val="0"/>
                <w:color w:val="164E63"/>
                <w:sz w:val="20"/>
              </w:rPr>
              <w:t xml:space="preserve">Reviewer status: </w:t>
            </w:r>
            <w:r>
              <w:rPr>
                <w:rFonts w:ascii="Aptos" w:hAnsi="Aptos"/>
                <w:b w:val="0"/>
                <w:i w:val="0"/>
                <w:sz w:val="20"/>
              </w:rPr>
              <w:t>No new Major issue was identified in Round 8. These are the only new active scientific review comments.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Internal MDPI-style peer-review working document | Round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