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Autism Q1 Manuscript – Round 9</w:t>
        <w:br/>
        <w:t>Technical Information Request for Architect/Claude</w:t>
      </w:r>
    </w:p>
    <w:p>
      <w:pPr>
        <w:jc w:val="center"/>
      </w:pPr>
      <w:r>
        <w:rPr>
          <w:i/>
          <w:sz w:val="19"/>
        </w:rPr>
        <w:t>Internal working document – factual/technical answers only; manuscript interpretation and wording will be handled separately</w:t>
      </w:r>
    </w:p>
    <w:p>
      <w:pPr>
        <w:pStyle w:val="Heading1"/>
      </w:pPr>
      <w:r>
        <w:t>Purpose and scope</w:t>
      </w:r>
    </w:p>
    <w:p>
      <w:r>
        <w:rPr>
          <w:b/>
        </w:rPr>
        <w:t xml:space="preserve">Round 9 contains eight open comments. </w:t>
      </w:r>
      <w:r>
        <w:t>Seven require implementation details, preserved-artifact data, or exact algorithm definitions. R9-6 does not require architect action because it can be resolved from the existing annotation protocol.</w:t>
      </w:r>
    </w:p>
    <w:p>
      <w:r>
        <w:rPr>
          <w:b/>
        </w:rPr>
        <w:t xml:space="preserve">Please provide technical facts only. </w:t>
      </w:r>
      <w:r>
        <w:t>Do not draft manuscript language and do not try to defend the paper rhetorically. We will independently interpret the facts and write the final scientific wording. Where possible, identify the exact artifact, source file, function, commit, configuration, or preserved output supporting the answer.</w:t>
      </w:r>
    </w:p>
    <w:p>
      <w:r>
        <w:rPr>
          <w:b/>
        </w:rPr>
        <w:t xml:space="preserve">No new model generation should be performed unless explicitly requested below. </w:t>
      </w:r>
      <w:r>
        <w:t>The reviewer has not asked for a rerun of the extraction models or reporting experiment. Existing code, prompts, preserved outputs, scoring artifacts, and git history should be sufficient.</w:t>
      </w:r>
    </w:p>
    <w:p>
      <w:pPr>
        <w:pStyle w:val="Heading1"/>
      </w:pPr>
      <w:r>
        <w:t>Items requiring technical response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9"/>
              </w:rPr>
              <w:t>ID</w:t>
            </w:r>
          </w:p>
        </w:tc>
        <w:tc>
          <w:tcPr>
            <w:tcW w:type="dxa" w:w="2556"/>
            <w:vAlign w:val="center"/>
            <w:shd w:fill="D9EAF7"/>
          </w:tcPr>
          <w:p>
            <w:r/>
            <w:r>
              <w:rPr>
                <w:rFonts w:ascii="Aptos" w:hAnsi="Aptos"/>
                <w:b/>
                <w:sz w:val="19"/>
              </w:rPr>
              <w:t>Reviewer issue</w:t>
            </w:r>
          </w:p>
        </w:tc>
        <w:tc>
          <w:tcPr>
            <w:tcW w:type="dxa" w:w="2556"/>
            <w:vAlign w:val="center"/>
            <w:shd w:fill="D9EAF7"/>
          </w:tcPr>
          <w:p>
            <w:r/>
            <w:r>
              <w:rPr>
                <w:rFonts w:ascii="Aptos" w:hAnsi="Aptos"/>
                <w:b/>
                <w:sz w:val="19"/>
              </w:rPr>
              <w:t>What we need</w:t>
            </w:r>
          </w:p>
        </w:tc>
        <w:tc>
          <w:tcPr>
            <w:tcW w:type="dxa" w:w="2556"/>
            <w:vAlign w:val="center"/>
            <w:shd w:fill="D9EAF7"/>
          </w:tcPr>
          <w:p>
            <w:r/>
            <w:r>
              <w:rPr>
                <w:rFonts w:ascii="Aptos" w:hAnsi="Aptos"/>
                <w:b/>
                <w:sz w:val="19"/>
              </w:rPr>
              <w:t>New model run?</w:t>
            </w:r>
          </w:p>
        </w:tc>
      </w:tr>
      <w:tr>
        <w:tc>
          <w:tcPr>
            <w:tcW w:type="dxa" w:w="2556"/>
            <w:vAlign w:val="center"/>
          </w:tcPr>
          <w:p>
            <w:r/>
            <w:r>
              <w:rPr>
                <w:rFonts w:ascii="Aptos" w:hAnsi="Aptos"/>
                <w:b w:val="0"/>
                <w:sz w:val="19"/>
              </w:rPr>
              <w:t>R9-1</w:t>
            </w:r>
          </w:p>
        </w:tc>
        <w:tc>
          <w:tcPr>
            <w:tcW w:type="dxa" w:w="2556"/>
            <w:vAlign w:val="center"/>
          </w:tcPr>
          <w:p>
            <w:r/>
            <w:r>
              <w:rPr>
                <w:rFonts w:ascii="Aptos" w:hAnsi="Aptos"/>
                <w:b w:val="0"/>
                <w:sz w:val="19"/>
              </w:rPr>
              <w:t>Final codebook postdates preserved generator outputs</w:t>
            </w:r>
          </w:p>
        </w:tc>
        <w:tc>
          <w:tcPr>
            <w:tcW w:type="dxa" w:w="2556"/>
            <w:vAlign w:val="center"/>
          </w:tcPr>
          <w:p>
            <w:r/>
            <w:r>
              <w:rPr>
                <w:rFonts w:ascii="Aptos" w:hAnsi="Aptos"/>
                <w:b w:val="0"/>
                <w:sz w:val="19"/>
              </w:rPr>
              <w:t>Prompt/version chronology; current prototype prompt; Qwen 3 14B prompt condition</w:t>
            </w:r>
          </w:p>
        </w:tc>
        <w:tc>
          <w:tcPr>
            <w:tcW w:type="dxa" w:w="2556"/>
            <w:vAlign w:val="center"/>
          </w:tcPr>
          <w:p>
            <w:r/>
            <w:r>
              <w:rPr>
                <w:rFonts w:ascii="Aptos" w:hAnsi="Aptos"/>
                <w:b w:val="0"/>
                <w:sz w:val="19"/>
              </w:rPr>
              <w:t>No</w:t>
            </w:r>
          </w:p>
        </w:tc>
      </w:tr>
      <w:tr>
        <w:tc>
          <w:tcPr>
            <w:tcW w:type="dxa" w:w="2556"/>
            <w:vAlign w:val="center"/>
          </w:tcPr>
          <w:p>
            <w:r/>
            <w:r>
              <w:rPr>
                <w:rFonts w:ascii="Aptos" w:hAnsi="Aptos"/>
                <w:b w:val="0"/>
                <w:sz w:val="19"/>
              </w:rPr>
              <w:t>R9-2</w:t>
            </w:r>
          </w:p>
        </w:tc>
        <w:tc>
          <w:tcPr>
            <w:tcW w:type="dxa" w:w="2556"/>
            <w:vAlign w:val="center"/>
          </w:tcPr>
          <w:p>
            <w:r/>
            <w:r>
              <w:rPr>
                <w:rFonts w:ascii="Aptos" w:hAnsi="Aptos"/>
                <w:b w:val="0"/>
                <w:sz w:val="19"/>
              </w:rPr>
              <w:t>Reporter withholding instruction/schema</w:t>
            </w:r>
          </w:p>
        </w:tc>
        <w:tc>
          <w:tcPr>
            <w:tcW w:type="dxa" w:w="2556"/>
            <w:vAlign w:val="center"/>
          </w:tcPr>
          <w:p>
            <w:r/>
            <w:r>
              <w:rPr>
                <w:rFonts w:ascii="Aptos" w:hAnsi="Aptos"/>
                <w:b w:val="0"/>
                <w:sz w:val="19"/>
              </w:rPr>
              <w:t>Exact prompt requirement, schema representation, validator acknowledgement logic</w:t>
            </w:r>
          </w:p>
        </w:tc>
        <w:tc>
          <w:tcPr>
            <w:tcW w:type="dxa" w:w="2556"/>
            <w:vAlign w:val="center"/>
          </w:tcPr>
          <w:p>
            <w:r/>
            <w:r>
              <w:rPr>
                <w:rFonts w:ascii="Aptos" w:hAnsi="Aptos"/>
                <w:b w:val="0"/>
                <w:sz w:val="19"/>
              </w:rPr>
              <w:t>No</w:t>
            </w:r>
          </w:p>
        </w:tc>
      </w:tr>
      <w:tr>
        <w:tc>
          <w:tcPr>
            <w:tcW w:type="dxa" w:w="2556"/>
            <w:vAlign w:val="center"/>
          </w:tcPr>
          <w:p>
            <w:r/>
            <w:r>
              <w:rPr>
                <w:rFonts w:ascii="Aptos" w:hAnsi="Aptos"/>
                <w:b w:val="0"/>
                <w:sz w:val="19"/>
              </w:rPr>
              <w:t>R9-3</w:t>
            </w:r>
          </w:p>
        </w:tc>
        <w:tc>
          <w:tcPr>
            <w:tcW w:type="dxa" w:w="2556"/>
            <w:vAlign w:val="center"/>
          </w:tcPr>
          <w:p>
            <w:r/>
            <w:r>
              <w:rPr>
                <w:rFonts w:ascii="Aptos" w:hAnsi="Aptos"/>
                <w:b w:val="0"/>
                <w:sz w:val="19"/>
              </w:rPr>
              <w:t>Reporter context visibility/settings</w:t>
            </w:r>
          </w:p>
        </w:tc>
        <w:tc>
          <w:tcPr>
            <w:tcW w:type="dxa" w:w="2556"/>
            <w:vAlign w:val="center"/>
          </w:tcPr>
          <w:p>
            <w:r/>
            <w:r>
              <w:rPr>
                <w:rFonts w:ascii="Aptos" w:hAnsi="Aptos"/>
                <w:b w:val="0"/>
                <w:sz w:val="19"/>
              </w:rPr>
              <w:t>Input token lengths/truncation check and complete inference configuration</w:t>
            </w:r>
          </w:p>
        </w:tc>
        <w:tc>
          <w:tcPr>
            <w:tcW w:type="dxa" w:w="2556"/>
            <w:vAlign w:val="center"/>
          </w:tcPr>
          <w:p>
            <w:r/>
            <w:r>
              <w:rPr>
                <w:rFonts w:ascii="Aptos" w:hAnsi="Aptos"/>
                <w:b w:val="0"/>
                <w:sz w:val="19"/>
              </w:rPr>
              <w:t>No</w:t>
            </w:r>
          </w:p>
        </w:tc>
      </w:tr>
      <w:tr>
        <w:tc>
          <w:tcPr>
            <w:tcW w:type="dxa" w:w="2556"/>
            <w:vAlign w:val="center"/>
          </w:tcPr>
          <w:p>
            <w:r/>
            <w:r>
              <w:rPr>
                <w:rFonts w:ascii="Aptos" w:hAnsi="Aptos"/>
                <w:b w:val="0"/>
                <w:sz w:val="19"/>
              </w:rPr>
              <w:t>R9-4</w:t>
            </w:r>
          </w:p>
        </w:tc>
        <w:tc>
          <w:tcPr>
            <w:tcW w:type="dxa" w:w="2556"/>
            <w:vAlign w:val="center"/>
          </w:tcPr>
          <w:p>
            <w:r/>
            <w:r>
              <w:rPr>
                <w:rFonts w:ascii="Aptos" w:hAnsi="Aptos"/>
                <w:b w:val="0"/>
                <w:sz w:val="19"/>
              </w:rPr>
              <w:t>Goals/review-context provenance</w:t>
            </w:r>
          </w:p>
        </w:tc>
        <w:tc>
          <w:tcPr>
            <w:tcW w:type="dxa" w:w="2556"/>
            <w:vAlign w:val="center"/>
          </w:tcPr>
          <w:p>
            <w:r/>
            <w:r>
              <w:rPr>
                <w:rFonts w:ascii="Aptos" w:hAnsi="Aptos"/>
                <w:b w:val="0"/>
                <w:sz w:val="19"/>
              </w:rPr>
              <w:t>Exact deterministic/synthetic construction and goal/domain mapping</w:t>
            </w:r>
          </w:p>
        </w:tc>
        <w:tc>
          <w:tcPr>
            <w:tcW w:type="dxa" w:w="2556"/>
            <w:vAlign w:val="center"/>
          </w:tcPr>
          <w:p>
            <w:r/>
            <w:r>
              <w:rPr>
                <w:rFonts w:ascii="Aptos" w:hAnsi="Aptos"/>
                <w:b w:val="0"/>
                <w:sz w:val="19"/>
              </w:rPr>
              <w:t>No</w:t>
            </w:r>
          </w:p>
        </w:tc>
      </w:tr>
      <w:tr>
        <w:tc>
          <w:tcPr>
            <w:tcW w:type="dxa" w:w="2556"/>
            <w:vAlign w:val="center"/>
          </w:tcPr>
          <w:p>
            <w:r/>
            <w:r>
              <w:rPr>
                <w:rFonts w:ascii="Aptos" w:hAnsi="Aptos"/>
                <w:b w:val="0"/>
                <w:sz w:val="19"/>
              </w:rPr>
              <w:t>R9-5</w:t>
            </w:r>
          </w:p>
        </w:tc>
        <w:tc>
          <w:tcPr>
            <w:tcW w:type="dxa" w:w="2556"/>
            <w:vAlign w:val="center"/>
          </w:tcPr>
          <w:p>
            <w:r/>
            <w:r>
              <w:rPr>
                <w:rFonts w:ascii="Aptos" w:hAnsi="Aptos"/>
                <w:b w:val="0"/>
                <w:sz w:val="19"/>
              </w:rPr>
              <w:t>Field-level unsupported assertion</w:t>
            </w:r>
          </w:p>
        </w:tc>
        <w:tc>
          <w:tcPr>
            <w:tcW w:type="dxa" w:w="2556"/>
            <w:vAlign w:val="center"/>
          </w:tcPr>
          <w:p>
            <w:r/>
            <w:r>
              <w:rPr>
                <w:rFonts w:ascii="Aptos" w:hAnsi="Aptos"/>
                <w:b w:val="0"/>
                <w:sz w:val="19"/>
              </w:rPr>
              <w:t>Gold-null denominators and per-model field-level numerators/denominators</w:t>
            </w:r>
          </w:p>
        </w:tc>
        <w:tc>
          <w:tcPr>
            <w:tcW w:type="dxa" w:w="2556"/>
            <w:vAlign w:val="center"/>
          </w:tcPr>
          <w:p>
            <w:r/>
            <w:r>
              <w:rPr>
                <w:rFonts w:ascii="Aptos" w:hAnsi="Aptos"/>
                <w:b w:val="0"/>
                <w:sz w:val="19"/>
              </w:rPr>
              <w:t>No</w:t>
            </w:r>
          </w:p>
        </w:tc>
      </w:tr>
      <w:tr>
        <w:tc>
          <w:tcPr>
            <w:tcW w:type="dxa" w:w="2556"/>
            <w:vAlign w:val="center"/>
          </w:tcPr>
          <w:p>
            <w:r/>
            <w:r>
              <w:rPr>
                <w:rFonts w:ascii="Aptos" w:hAnsi="Aptos"/>
                <w:b w:val="0"/>
                <w:sz w:val="19"/>
              </w:rPr>
              <w:t>R9-7</w:t>
            </w:r>
          </w:p>
        </w:tc>
        <w:tc>
          <w:tcPr>
            <w:tcW w:type="dxa" w:w="2556"/>
            <w:vAlign w:val="center"/>
          </w:tcPr>
          <w:p>
            <w:r/>
            <w:r>
              <w:rPr>
                <w:rFonts w:ascii="Aptos" w:hAnsi="Aptos"/>
                <w:b w:val="0"/>
                <w:sz w:val="19"/>
              </w:rPr>
              <w:t>Universe balancing/reweighting reproducibility</w:t>
            </w:r>
          </w:p>
        </w:tc>
        <w:tc>
          <w:tcPr>
            <w:tcW w:type="dxa" w:w="2556"/>
            <w:vAlign w:val="center"/>
          </w:tcPr>
          <w:p>
            <w:r/>
            <w:r>
              <w:rPr>
                <w:rFonts w:ascii="Aptos" w:hAnsi="Aptos"/>
                <w:b w:val="0"/>
                <w:sz w:val="19"/>
              </w:rPr>
              <w:t>Exact allocation/redistribution pseudocode and reweighting formula</w:t>
            </w:r>
          </w:p>
        </w:tc>
        <w:tc>
          <w:tcPr>
            <w:tcW w:type="dxa" w:w="2556"/>
            <w:vAlign w:val="center"/>
          </w:tcPr>
          <w:p>
            <w:r/>
            <w:r>
              <w:rPr>
                <w:rFonts w:ascii="Aptos" w:hAnsi="Aptos"/>
                <w:b w:val="0"/>
                <w:sz w:val="19"/>
              </w:rPr>
              <w:t>No</w:t>
            </w:r>
          </w:p>
        </w:tc>
      </w:tr>
      <w:tr>
        <w:tc>
          <w:tcPr>
            <w:tcW w:type="dxa" w:w="2556"/>
            <w:vAlign w:val="center"/>
          </w:tcPr>
          <w:p>
            <w:r/>
            <w:r>
              <w:rPr>
                <w:rFonts w:ascii="Aptos" w:hAnsi="Aptos"/>
                <w:b w:val="0"/>
                <w:sz w:val="19"/>
              </w:rPr>
              <w:t>R9-8</w:t>
            </w:r>
          </w:p>
        </w:tc>
        <w:tc>
          <w:tcPr>
            <w:tcW w:type="dxa" w:w="2556"/>
            <w:vAlign w:val="center"/>
          </w:tcPr>
          <w:p>
            <w:r/>
            <w:r>
              <w:rPr>
                <w:rFonts w:ascii="Aptos" w:hAnsi="Aptos"/>
                <w:b w:val="0"/>
                <w:sz w:val="19"/>
              </w:rPr>
              <w:t>MARS oracle ceiling definition</w:t>
            </w:r>
          </w:p>
        </w:tc>
        <w:tc>
          <w:tcPr>
            <w:tcW w:type="dxa" w:w="2556"/>
            <w:vAlign w:val="center"/>
          </w:tcPr>
          <w:p>
            <w:r/>
            <w:r>
              <w:rPr>
                <w:rFonts w:ascii="Aptos" w:hAnsi="Aptos"/>
                <w:b w:val="0"/>
                <w:sz w:val="19"/>
              </w:rPr>
              <w:t>Exact candidate set and rule behind the 6.1% whole-record oracle</w:t>
            </w:r>
          </w:p>
        </w:tc>
        <w:tc>
          <w:tcPr>
            <w:tcW w:type="dxa" w:w="2556"/>
            <w:vAlign w:val="center"/>
          </w:tcPr>
          <w:p>
            <w:r/>
            <w:r>
              <w:rPr>
                <w:rFonts w:ascii="Aptos" w:hAnsi="Aptos"/>
                <w:b w:val="0"/>
                <w:sz w:val="19"/>
              </w:rPr>
              <w:t>No</w:t>
            </w:r>
          </w:p>
        </w:tc>
      </w:tr>
    </w:tbl>
    <w:p>
      <w:pPr>
        <w:pStyle w:val="Heading1"/>
      </w:pPr>
      <w:r>
        <w:t>R9-1 – Final human codebook postdates preserved generator outputs</w:t>
      </w:r>
    </w:p>
    <w:p>
      <w:pPr>
        <w:pStyle w:val="Heading2"/>
      </w:pPr>
      <w:r>
        <w:t>Why this information is needed</w:t>
      </w:r>
    </w:p>
    <w:p>
      <w:r>
        <w:rPr>
          <w:b/>
        </w:rPr>
        <w:t xml:space="preserve">The reviewer accepts that no rerun is required, but wants the paper to state exactly what extraction condition was evaluated. </w:t>
      </w:r>
      <w:r>
        <w:t>The preserved generator outputs appear to predate the three human codebook clarifications. We need the implementation chronology so the article can distinguish the original prompt/schema condition from any later final-codebook-aware prototype condition.</w:t>
      </w:r>
    </w:p>
    <w:p>
      <w:pPr>
        <w:pStyle w:val="Heading2"/>
      </w:pPr>
      <w:r>
        <w:t>Questions for Claude</w:t>
      </w:r>
    </w:p>
    <w:p>
      <w:pPr>
        <w:pStyle w:val="ListNumber"/>
      </w:pPr>
      <w:r>
        <w:t>For Llama 3.2, Qwen 2.5 3B, and Qwen 2.5 7B preserved outputs used in the 330 main-batch evaluation, confirm whether generation occurred before the final human codebook clarifications were created. Provide the relevant prompt/version and, if available, commit/date or preserved artifact identifier.</w:t>
      </w:r>
    </w:p>
    <w:p>
      <w:pPr>
        <w:pStyle w:val="ListNumber"/>
      </w:pPr>
      <w:r>
        <w:t>Did the extraction prompt used for those preserved outputs contain any of the later specialist rules explicitly? Please check specifically: (a) communicative gesture versus ordinary object manipulation, (b) identifiable target requirement for assigning correct/incorrect outcome, and (c) prompt versus antecedent/opportunity distinction. For each rule, answer yes/no and point to the exact prompt text if yes.</w:t>
      </w:r>
    </w:p>
    <w:p>
      <w:pPr>
        <w:pStyle w:val="ListNumber"/>
      </w:pPr>
      <w:r>
        <w:t>What prompt/schema condition did Qwen 3 14B use when its preserved generator outputs were created? Was it exactly the same extraction prompt/tool schema as the original three generators? If not, list every difference relevant to the scored categorical fields.</w:t>
      </w:r>
    </w:p>
    <w:p>
      <w:pPr>
        <w:pStyle w:val="ListNumber"/>
      </w:pPr>
      <w:r>
        <w:t>What prompt is currently used by Qwen 2.5 7B in the prototype request path? Is it still the original extraction prompt used for the preserved evaluation outputs, or was it subsequently updated to incorporate any final codebook definitions? Provide prompt version/file/commit and summarize only the factual differences.</w:t>
      </w:r>
    </w:p>
    <w:p>
      <w:pPr>
        <w:pStyle w:val="ListNumber"/>
      </w:pPr>
      <w:r>
        <w:t>If the current prototype prompt differs from the preserved evaluation prompt, confirm whether any results reported in the paper were recomputed using the newer prompt. We expect the answer to be no unless a preserved experiment says otherwise.</w:t>
      </w:r>
    </w:p>
    <w:p>
      <w:pPr>
        <w:pStyle w:val="Heading2"/>
      </w:pPr>
      <w:r>
        <w:t>Preferred response format</w:t>
      </w:r>
    </w:p>
    <w:p>
      <w:r>
        <w:rPr>
          <w:b/>
        </w:rPr>
        <w:t xml:space="preserve">A compact chronology table is ideal: </w:t>
      </w:r>
      <w:r>
        <w:t>Model / role | prompt version | tool/schema version | generation date/commit | final-codebook rules present? | current prototype same or different? | evidence artifact/path.</w:t>
      </w:r>
    </w:p>
    <w:p>
      <w:pPr>
        <w:pStyle w:val="Heading1"/>
      </w:pPr>
      <w:r>
        <w:t>R9-2 – Reporter withholding instruction and schema requirement</w:t>
      </w:r>
    </w:p>
    <w:p>
      <w:pPr>
        <w:pStyle w:val="Heading2"/>
      </w:pPr>
      <w:r>
        <w:t>Why this information is needed</w:t>
      </w:r>
    </w:p>
    <w:p>
      <w:r>
        <w:rPr>
          <w:b/>
        </w:rPr>
        <w:t xml:space="preserve">The 0/11 governance result is only interpretable if we know what the reporter was actually instructed and structurally required to communicate. </w:t>
      </w:r>
      <w:r>
        <w:t>We need to distinguish failure to obey an explicit withholding requirement from failure of a prompt/schema configuration that never made the requirement explicit.</w:t>
      </w:r>
    </w:p>
    <w:p>
      <w:pPr>
        <w:pStyle w:val="Heading2"/>
      </w:pPr>
      <w:r>
        <w:t>Questions for Claude</w:t>
      </w:r>
    </w:p>
    <w:p>
      <w:pPr>
        <w:pStyle w:val="ListNumber"/>
      </w:pPr>
      <w:r>
        <w:t>Provide the complete preserved generative-reporter system/user prompt used for the recorded 11 model-generated reports, or identify the exact file/commit and copy the relevant instruction text verbatim into the response.</w:t>
      </w:r>
    </w:p>
    <w:p>
      <w:pPr>
        <w:pStyle w:val="ListNumber"/>
      </w:pPr>
      <w:r>
        <w:t>Did that prompt explicitly require the model to communicate every KPI/analysis that was withheld, unavailable, abstained, or not computed? If yes, quote the exact instruction. If the instruction was narrower, state exactly what it required.</w:t>
      </w:r>
    </w:p>
    <w:p>
      <w:pPr>
        <w:pStyle w:val="ListNumber"/>
      </w:pPr>
      <w:r>
        <w:t>Provide the exact JSON/output schema used for the recorded reporter run. Did the schema contain a mandatory field or structure specifically for withheld/unavailable analyses? If yes, identify the field(s), required/optional status, and cardinality. If no, say so clearly.</w:t>
      </w:r>
    </w:p>
    <w:p>
      <w:pPr>
        <w:pStyle w:val="ListNumber"/>
      </w:pPr>
      <w:r>
        <w:t>How did the deterministic validator decide that a particular withheld KPI had been acknowledged? Please provide the exact rule/algorithm. For example: exact KPI name match, normalized string match, presence in a dedicated field, keyword test, or another method. Include the relevant function/file.</w:t>
      </w:r>
    </w:p>
    <w:p>
      <w:pPr>
        <w:pStyle w:val="ListNumber"/>
      </w:pPr>
      <w:r>
        <w:t>For the 0/11 result, confirm whether all reports failed because at least one required withheld KPI was not acknowledged under that rule, and identify which withheld KPI families were expected in all 11 packets.</w:t>
      </w:r>
    </w:p>
    <w:p>
      <w:pPr>
        <w:pStyle w:val="ListNumber"/>
      </w:pPr>
      <w:r>
        <w:t>Provide the prompt/schema/validator artifact paths and commit IDs used for the recorded 11-report evaluation.</w:t>
      </w:r>
    </w:p>
    <w:p>
      <w:pPr>
        <w:pStyle w:val="Heading1"/>
      </w:pPr>
      <w:r>
        <w:t>R9-3 – Complete EvidencePacket visibility and reporter inference settings</w:t>
      </w:r>
    </w:p>
    <w:p>
      <w:pPr>
        <w:pStyle w:val="Heading2"/>
      </w:pPr>
      <w:r>
        <w:t>Why this information is needed</w:t>
      </w:r>
    </w:p>
    <w:p>
      <w:r>
        <w:rPr>
          <w:b/>
        </w:rPr>
        <w:t xml:space="preserve">The central negative result is omission of withholding states. </w:t>
      </w:r>
      <w:r>
        <w:t>We must rule out context truncation and document the reporter inference configuration with the same precision used for the extraction and MARS experiments.</w:t>
      </w:r>
    </w:p>
    <w:p>
      <w:pPr>
        <w:pStyle w:val="Heading2"/>
      </w:pPr>
      <w:r>
        <w:t>Questions for Claude</w:t>
      </w:r>
    </w:p>
    <w:p>
      <w:pPr>
        <w:pStyle w:val="ListNumber"/>
      </w:pPr>
      <w:r>
        <w:t>For each of the 11 recorded reporter inputs, report the token count of the complete model-visible input (system prompt + user prompt + serialized EvidencePacket + schema/tool overhead if counted by the serving API). If exact API-token counts are unavailable, report the tokenizer/method used and the closest reproducible count.</w:t>
      </w:r>
    </w:p>
    <w:p>
      <w:pPr>
        <w:pStyle w:val="ListNumber"/>
      </w:pPr>
      <w:r>
        <w:t>Report the minimum, median, and maximum input token count across the 11 cases, and identify the maximum case.</w:t>
      </w:r>
    </w:p>
    <w:p>
      <w:pPr>
        <w:pStyle w:val="ListNumber"/>
      </w:pPr>
      <w:r>
        <w:t>Confirm whether every complete EvidencePacket, including every abstention/withholding object, was present in the model-visible input with no truncation. If any automatic truncation/window management was possible, explain exactly what Ollama/API behavior applied.</w:t>
      </w:r>
    </w:p>
    <w:p>
      <w:pPr>
        <w:pStyle w:val="ListNumber"/>
      </w:pPr>
      <w:r>
        <w:t>Given the 8,192-token context setting, report the reserved or actual output-token budget and show that input + allowed output fit within the effective context for every case. If the serving implementation handles context differently, explain the actual rule.</w:t>
      </w:r>
    </w:p>
    <w:p>
      <w:pPr>
        <w:pStyle w:val="ListNumber"/>
      </w:pPr>
      <w:r>
        <w:t>Report the reporter generation configuration exactly as executed: temperature, top_p, top_k, num_predict/output-token limit, repetition settings if explicitly set, seed or absence of seed, number of generations per child, context length, structured-output/schema mode, and any other non-default generation options.</w:t>
      </w:r>
    </w:p>
    <w:p>
      <w:pPr>
        <w:pStyle w:val="ListNumber"/>
      </w:pPr>
      <w:r>
        <w:t>For every parameter not explicitly set, identify that it used the Ollama/server default and, if easy to retrieve from the recorded environment/version, state the effective default. Do not infer defaults if not verifiable.</w:t>
      </w:r>
    </w:p>
    <w:p>
      <w:pPr>
        <w:pStyle w:val="ListNumber"/>
      </w:pPr>
      <w:r>
        <w:t>Identify the exact model digest/version, Ollama version, prompt/schema artifact, and recorded output artifact for this run.</w:t>
      </w:r>
    </w:p>
    <w:p>
      <w:pPr>
        <w:pStyle w:val="Heading1"/>
      </w:pPr>
      <w:r>
        <w:t>R9-4 – Provenance of active goals and review context</w:t>
      </w:r>
    </w:p>
    <w:p>
      <w:pPr>
        <w:pStyle w:val="Heading2"/>
      </w:pPr>
      <w:r>
        <w:t>Why this information is needed</w:t>
      </w:r>
    </w:p>
    <w:p>
      <w:r>
        <w:rPr>
          <w:b/>
        </w:rPr>
        <w:t xml:space="preserve">The reporter packets passed through the adequacy router, where goal coverage can affect adequacy state. </w:t>
      </w:r>
      <w:r>
        <w:t>The manuscript currently explains structured-field and metadata provenance but not how active goals, review periods, or record-to-goal/domain mapping were created for this synthetic governance experiment.</w:t>
      </w:r>
    </w:p>
    <w:p>
      <w:pPr>
        <w:pStyle w:val="Heading2"/>
      </w:pPr>
      <w:r>
        <w:t>Questions for Claude</w:t>
      </w:r>
    </w:p>
    <w:p>
      <w:pPr>
        <w:pStyle w:val="ListNumber"/>
      </w:pPr>
      <w:r>
        <w:t>For each of the 11 child-level reporting EvidencePackets, how were the active goals created? Were they corpus-derived, deterministically generated from the adjudicated records, or fully synthetic? Give the exact construction rule.</w:t>
      </w:r>
    </w:p>
    <w:p>
      <w:pPr>
        <w:pStyle w:val="ListNumber"/>
      </w:pPr>
      <w:r>
        <w:t>What fields did each goal contain (for example goal ID, description, domain, active status, dates), and how were those values assigned? Provide one synthetic/structural example without reproducing restricted corpus text.</w:t>
      </w:r>
    </w:p>
    <w:p>
      <w:pPr>
        <w:pStyle w:val="ListNumber"/>
      </w:pPr>
      <w:r>
        <w:t>How was each structured record associated with a goal or goal domain for the adequacy router? State the exact mapping rule and function/file. If the router used domain coverage rather than record-to-goal identity, explain precisely how the denominator and covered-goal count were computed.</w:t>
      </w:r>
    </w:p>
    <w:p>
      <w:pPr>
        <w:pStyle w:val="ListNumber"/>
      </w:pPr>
      <w:r>
        <w:t>How was the review period constructed for each child? Give the start date, end-date rule, relation to the synthetic observation dates, and whether the same rule was used for all 11 children.</w:t>
      </w:r>
    </w:p>
    <w:p>
      <w:pPr>
        <w:pStyle w:val="ListNumber"/>
      </w:pPr>
      <w:r>
        <w:t>Did any synthetic goal/review-context choice affect the LIMITED classification beyond the already known single-setting/single-contributor-role deficits? Please report which adequacy checks passed/failed across the 11 packets and whether goal coverage ever failed.</w:t>
      </w:r>
    </w:p>
    <w:p>
      <w:pPr>
        <w:pStyle w:val="ListNumber"/>
      </w:pPr>
      <w:r>
        <w:t>Identify the code/artifact that constructs these goals/review contexts so the procedure can be reproduced in the Supplement.</w:t>
      </w:r>
    </w:p>
    <w:p>
      <w:pPr>
        <w:pStyle w:val="Heading1"/>
      </w:pPr>
      <w:r>
        <w:t>R9-5 – Field-level unsupported-assertion denominators</w:t>
      </w:r>
    </w:p>
    <w:p>
      <w:pPr>
        <w:pStyle w:val="Heading2"/>
      </w:pPr>
      <w:r>
        <w:t>Why this information is needed</w:t>
      </w:r>
    </w:p>
    <w:p>
      <w:r>
        <w:rPr>
          <w:b/>
        </w:rPr>
        <w:t xml:space="preserve">The pooled unsupported-assertion rate is opportunity-weighted. </w:t>
      </w:r>
      <w:r>
        <w:t>Because gold-null opportunities are very uneven across domain, modality, prompt_level, and outcome, the reviewer wants field-level denominators and per-model numerators/denominators rather than a pooled percentage alone.</w:t>
      </w:r>
    </w:p>
    <w:p>
      <w:pPr>
        <w:pStyle w:val="Heading2"/>
      </w:pPr>
      <w:r>
        <w:t>Questions for Claude</w:t>
      </w:r>
    </w:p>
    <w:p>
      <w:pPr>
        <w:pStyle w:val="ListNumber"/>
      </w:pPr>
      <w:r>
        <w:t>Using the existing scored artifacts only, report the number of adjudicated gold-null opportunities separately for domain, modality, prompt_level, and outcome on: (a) the 330 main batch, and (b) the post-audit 121 evaluation set. If the original 132 is easy to include, provide it too, but 330 and 121 are the priority.</w:t>
      </w:r>
    </w:p>
    <w:p>
      <w:pPr>
        <w:pStyle w:val="ListNumber"/>
      </w:pPr>
      <w:r>
        <w:t>For each of the four generators (Llama 3.2, Qwen 2.5 3B, Qwen 2.5 7B, Qwen 3 14B), report unsupported-assertion numerator/denominator and percentage separately for each field on the 330 main batch.</w:t>
      </w:r>
    </w:p>
    <w:p>
      <w:pPr>
        <w:pStyle w:val="ListNumber"/>
      </w:pPr>
      <w:r>
        <w:t>Provide the same per-field numerator/denominator/percentage table for the post-audit 121 set.</w:t>
      </w:r>
    </w:p>
    <w:p>
      <w:pPr>
        <w:pStyle w:val="ListNumber"/>
      </w:pPr>
      <w:r>
        <w:t>Confirm that the currently reported pooled unsupported-assertion metric is calculated as total hallucinated assertions across all four fields divided by total gold-null opportunities across all four fields, rather than an unweighted mean of four field-specific percentages.</w:t>
      </w:r>
    </w:p>
    <w:p>
      <w:pPr>
        <w:pStyle w:val="ListNumber"/>
      </w:pPr>
      <w:r>
        <w:t>If a field has too few gold-null opportunities for a stable percentage, retain the raw numerator/denominator and flag the percentage as sparse rather than suppressing the field.</w:t>
      </w:r>
    </w:p>
    <w:p>
      <w:pPr>
        <w:pStyle w:val="ListNumber"/>
      </w:pPr>
      <w:r>
        <w:t>Identify the existing scoring artifact/script used to generate these counts. No generator rerun is requested.</w:t>
      </w:r>
    </w:p>
    <w:p>
      <w:pPr>
        <w:pStyle w:val="Heading1"/>
      </w:pPr>
      <w:r>
        <w:t>R9-7 – Fully reproducible universe balancing and reweighting algorithm</w:t>
      </w:r>
    </w:p>
    <w:p>
      <w:pPr>
        <w:pStyle w:val="Heading2"/>
      </w:pPr>
      <w:r>
        <w:t>Why this information is needed</w:t>
      </w:r>
    </w:p>
    <w:p>
      <w:r>
        <w:rPr>
          <w:b/>
        </w:rPr>
        <w:t xml:space="preserve">The phrase “spread across available episode types” is not sufficient to reproduce the 273- and 455-per-child selections. </w:t>
      </w:r>
      <w:r>
        <w:t>We need the exact deterministic allocation algorithm and the exact formula used for the episode-type reweighting sensitivity.</w:t>
      </w:r>
    </w:p>
    <w:p>
      <w:pPr>
        <w:pStyle w:val="Heading2"/>
      </w:pPr>
      <w:r>
        <w:t>Questions for Claude</w:t>
      </w:r>
    </w:p>
    <w:p>
      <w:pPr>
        <w:pStyle w:val="ListNumber"/>
      </w:pPr>
      <w:r>
        <w:t>Read the actual universe-construction code and provide pseudocode that exactly reproduces selection for one child given a per-child ceiling C (273 or 455) and that child's available episode types/counts.</w:t>
      </w:r>
    </w:p>
    <w:p>
      <w:pPr>
        <w:pStyle w:val="ListNumber"/>
      </w:pPr>
      <w:r>
        <w:t>How is the initial per-type quota computed? State the formula, including whether all globally defined types or only types present for that child are included.</w:t>
      </w:r>
    </w:p>
    <w:p>
      <w:pPr>
        <w:pStyle w:val="ListNumber"/>
      </w:pPr>
      <w:r>
        <w:t>How are integer remainders allocated when C is not divisible by the number of types? State the deterministic ordering/tie rule used to assign extra slots.</w:t>
      </w:r>
    </w:p>
    <w:p>
      <w:pPr>
        <w:pStyle w:val="ListNumber"/>
      </w:pPr>
      <w:r>
        <w:t>If an episode type contains fewer episodes than its allocated quota, is the unused quota redistributed? If yes, describe the redistribution loop/rule exactly and when it terminates. If no, state that explicitly.</w:t>
      </w:r>
    </w:p>
    <w:p>
      <w:pPr>
        <w:pStyle w:val="ListNumber"/>
      </w:pPr>
      <w:r>
        <w:t>Within each type, confirm the exact ordering used before retaining episodes (for example transcript/session order, source start line, stable sort key). State how ties are handled.</w:t>
      </w:r>
    </w:p>
    <w:p>
      <w:pPr>
        <w:pStyle w:val="ListNumber"/>
      </w:pPr>
      <w:r>
        <w:t>Confirm how the final selected count can be less than the nominal 273 or 455 ceiling for a child/set when insufficient candidates exist.</w:t>
      </w:r>
    </w:p>
    <w:p>
      <w:pPr>
        <w:pStyle w:val="ListNumber"/>
      </w:pPr>
      <w:r>
        <w:t>For the 121-set episode-type reweighting sensitivity, provide the exact weighting formula. Define the source composition being targeted, the observed sample composition, the unit receiving the weight (episode or stratum), any normalization, and how weighted merged agreement and unsupported assertion were calculated.</w:t>
      </w:r>
    </w:p>
    <w:p>
      <w:pPr>
        <w:pStyle w:val="ListNumber"/>
      </w:pPr>
      <w:r>
        <w:t>Provide the code/function names and, if available, a small synthetic example showing the allocation and redistribution for a toy child with a few episode types. Do not use restricted transcript content.</w:t>
      </w:r>
    </w:p>
    <w:p>
      <w:pPr>
        <w:pStyle w:val="Heading1"/>
      </w:pPr>
      <w:r>
        <w:t>R9-8 – Definition of the 6.1% MARS whole-record oracle ceiling</w:t>
      </w:r>
    </w:p>
    <w:p>
      <w:pPr>
        <w:pStyle w:val="Heading2"/>
      </w:pPr>
      <w:r>
        <w:t>Why this information is needed</w:t>
      </w:r>
    </w:p>
    <w:p>
      <w:r>
        <w:rPr>
          <w:b/>
        </w:rPr>
        <w:t xml:space="preserve">The manuscript reports a 6.1% whole-record oracle ceiling but does not define the candidate set or eligibility rule. </w:t>
      </w:r>
      <w:r>
        <w:t>We need the exact computation so the Methods can describe what the oracle actually represents.</w:t>
      </w:r>
    </w:p>
    <w:p>
      <w:pPr>
        <w:pStyle w:val="Heading2"/>
      </w:pPr>
      <w:r>
        <w:t>Questions for Claude</w:t>
      </w:r>
    </w:p>
    <w:p>
      <w:pPr>
        <w:pStyle w:val="ListNumber"/>
      </w:pPr>
      <w:r>
        <w:t>What exact denominator was used to obtain the 6.1% whole-record oracle ceiling: all 330 main-batch segments, only MARS-returnable segments, only rerank-required segments, or another subset?</w:t>
      </w:r>
    </w:p>
    <w:p>
      <w:pPr>
        <w:pStyle w:val="ListNumber"/>
      </w:pPr>
      <w:r>
        <w:t>For each segment, which candidate outputs were considered by the oracle: all preserved outputs from the original three generators, only provider SUCCESS/PARTIAL outputs, only MARS-reviewable candidates, or the post-deduplication candidate set?</w:t>
      </w:r>
    </w:p>
    <w:p>
      <w:pPr>
        <w:pStyle w:val="ListNumber"/>
      </w:pPr>
      <w:r>
        <w:t>Were the same MARS reviewability rules applied (at least one observation; behavior or domain populated), and was deterministic deduplication applied before the oracle test?</w:t>
      </w:r>
    </w:p>
    <w:p>
      <w:pPr>
        <w:pStyle w:val="ListNumber"/>
      </w:pPr>
      <w:r>
        <w:t>What constituted oracle success? Confirm whether success means that at least one considered candidate exactly matched the adjudicated reference on all four categorical fields, including correct null handling.</w:t>
      </w:r>
    </w:p>
    <w:p>
      <w:pPr>
        <w:pStyle w:val="ListNumber"/>
      </w:pPr>
      <w:r>
        <w:t>Provide the exact numerator and denominator behind 6.1% and the function/script that computes it.</w:t>
      </w:r>
    </w:p>
    <w:p>
      <w:pPr>
        <w:pStyle w:val="ListNumber"/>
      </w:pPr>
      <w:r>
        <w:t>If there are multiple plausible oracle definitions already available in artifacts (for example raw three-generator oracle versus MARS-reviewable oracle), report each separately so we can use the definition that matches the manuscript claim.</w:t>
      </w:r>
    </w:p>
    <w:p>
      <w:pPr>
        <w:pStyle w:val="Heading1"/>
      </w:pPr>
      <w:r>
        <w:t>R9-6 – No architect/Claude action required</w:t>
      </w:r>
    </w:p>
    <w:p>
      <w:r>
        <w:rPr>
          <w:b/>
        </w:rPr>
        <w:t xml:space="preserve">Reviewer issue: </w:t>
      </w:r>
      <w:r>
        <w:t>human annotators saw administrative identifiers for sheet management while models did not.</w:t>
      </w:r>
    </w:p>
    <w:p>
      <w:r>
        <w:rPr>
          <w:b/>
        </w:rPr>
        <w:t xml:space="preserve">We will handle this from the existing annotation protocol: administrative identifiers were for record management/keying, while field assignment was based on the displayed transcript content and codebook. </w:t>
      </w:r>
      <w:r>
        <w:t>No reannotation or technical analysis is requested for this item. Please do not spend time on R9-6 unless you discover documentary evidence that contradicts this protocol.</w:t>
      </w:r>
    </w:p>
    <w:p>
      <w:pPr>
        <w:pStyle w:val="Heading1"/>
      </w:pPr>
      <w:r>
        <w:t>What to send back</w:t>
      </w:r>
    </w:p>
    <w:p>
      <w:r>
        <w:rPr>
          <w:b/>
        </w:rPr>
        <w:t xml:space="preserve">A single response document is ideal. </w:t>
      </w:r>
      <w:r>
        <w:t>For each R9 item above, provide factual answers, raw counts/tables where requested, and artifact/code references. Screenshots, JSON excerpts, or command output are fine if they are easier than prose.</w:t>
      </w:r>
    </w:p>
    <w:p>
      <w:pPr>
        <w:pStyle w:val="ListBullet"/>
      </w:pPr>
      <w:r>
        <w:t>Do not rewrite the manuscript.</w:t>
      </w:r>
    </w:p>
    <w:p>
      <w:pPr>
        <w:pStyle w:val="ListBullet"/>
      </w:pPr>
      <w:r>
        <w:t>Do not create a defense narrative or reviewer-response prose.</w:t>
      </w:r>
    </w:p>
    <w:p>
      <w:pPr>
        <w:pStyle w:val="ListBullet"/>
      </w:pPr>
      <w:r>
        <w:t>Do not rerun generators or the reporter unless an existing artifact is genuinely insufficient and you first flag that limitation.</w:t>
      </w:r>
    </w:p>
    <w:p>
      <w:pPr>
        <w:pStyle w:val="ListBullet"/>
      </w:pPr>
      <w:r>
        <w:t>Do not alter frozen samples, labels, prompts, or historical outputs to make the result cleaner.</w:t>
      </w:r>
    </w:p>
    <w:p>
      <w:pPr>
        <w:pStyle w:val="ListBullet"/>
      </w:pPr>
      <w:r>
        <w:t>If a requested fact cannot be established from preserved artifacts or git history, say exactly that rather than inferring a rationale.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