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i w:val="0"/>
          <w:color w:val="164E63"/>
          <w:sz w:val="39"/>
        </w:rPr>
        <w:t>MDPI-Style Peer Review — Round 5</w:t>
      </w:r>
    </w:p>
    <w:p>
      <w:pPr>
        <w:spacing w:after="40"/>
        <w:jc w:val="center"/>
      </w:pPr>
      <w:r>
        <w:rPr>
          <w:rFonts w:ascii="Aptos Display" w:hAnsi="Aptos Display"/>
          <w:b/>
          <w:i w:val="0"/>
          <w:color w:val="0F766E"/>
          <w:sz w:val="29"/>
        </w:rPr>
        <w:t>Open Review Feedback for Autism Q1 Article V8</w:t>
      </w:r>
    </w:p>
    <w:p>
      <w:pPr>
        <w:spacing w:after="180"/>
        <w:jc w:val="center"/>
      </w:pPr>
      <w:r>
        <w:rPr>
          <w:rFonts w:ascii="Aptos" w:hAnsi="Aptos"/>
          <w:b w:val="0"/>
          <w:i/>
          <w:color w:val="475569"/>
          <w:sz w:val="18"/>
        </w:rPr>
        <w:t>Only currently open Round 5 reviewer comments are included.</w:t>
      </w:r>
    </w:p>
    <w:tbl>
      <w:tblPr>
        <w:tblW w:type="auto" w:w="0"/>
        <w:jc w:val="center"/>
        <w:tblLook w:firstColumn="1" w:firstRow="1" w:lastColumn="0" w:lastRow="0" w:noHBand="0" w:noVBand="1" w:val="04A0"/>
      </w:tblPr>
      <w:tblGrid>
        <w:gridCol w:w="10080"/>
      </w:tblGrid>
      <w:tr>
        <w:tc>
          <w:tcPr>
            <w:tcW w:type="dxa" w:w="10080"/>
            <w:shd w:fill="ECFDF5"/>
            <w:tcBorders>
              <w:top w:val="single" w:sz="5" w:color="A7F3D0"/>
              <w:left w:val="single" w:sz="5" w:color="A7F3D0"/>
              <w:bottom w:val="single" w:sz="5" w:color="A7F3D0"/>
              <w:right w:val="single" w:sz="5" w:color="A7F3D0"/>
            </w:tcBorders>
            <w:tcMar>
              <w:top w:w="95" w:type="dxa"/>
              <w:start w:w="130" w:type="dxa"/>
              <w:bottom w:w="95" w:type="dxa"/>
              <w:end w:w="130" w:type="dxa"/>
            </w:tcMar>
          </w:tcPr>
          <w:p>
            <w:r>
              <w:rPr>
                <w:rFonts w:ascii="Aptos" w:hAnsi="Aptos"/>
                <w:b/>
                <w:i w:val="0"/>
                <w:color w:val="065F46"/>
                <w:sz w:val="20"/>
              </w:rPr>
              <w:t xml:space="preserve">Scope note. </w:t>
            </w:r>
            <w:r>
              <w:rPr>
                <w:rFonts w:ascii="Aptos" w:hAnsi="Aptos"/>
                <w:b w:val="0"/>
                <w:i w:val="0"/>
                <w:sz w:val="20"/>
              </w:rPr>
              <w:t>All six scientific/methodological comments from the previous review round are considered resolved in V8. This document includes only the three newly identified Round 5 comments. Items intentionally parked for later (IRB/ethics, final end-to-end verification, citation pass, repository/Zenodo links, and other explicitly unfinished submission materials) are excluded.</w:t>
            </w:r>
          </w:p>
        </w:tc>
      </w:tr>
    </w:tbl>
    <w:p>
      <w:pPr>
        <w:pStyle w:val="Heading1"/>
        <w:spacing w:before="180" w:after="80"/>
      </w:pPr>
      <w:r>
        <w:t>1. Round 5 Summary</w:t>
      </w:r>
    </w:p>
    <w:tbl>
      <w:tblPr>
        <w:tblW w:type="auto" w:w="0"/>
        <w:jc w:val="center"/>
        <w:tblLook w:firstColumn="1" w:firstRow="1" w:lastColumn="0" w:lastRow="0" w:noHBand="0" w:noVBand="1" w:val="04A0"/>
      </w:tblPr>
      <w:tblGrid>
        <w:gridCol w:w="3360"/>
        <w:gridCol w:w="3360"/>
        <w:gridCol w:w="3360"/>
      </w:tblGrid>
      <w:tr>
        <w:tc>
          <w:tcPr>
            <w:tcW w:type="dxa" w:w="3360"/>
            <w:shd w:fill="164E63"/>
            <w:tcMar>
              <w:top w:w="80" w:type="dxa"/>
              <w:start w:w="100" w:type="dxa"/>
              <w:bottom w:w="80" w:type="dxa"/>
              <w:end w:w="100" w:type="dxa"/>
            </w:tcMar>
          </w:tcPr>
          <w:p>
            <w:r>
              <w:rPr>
                <w:rFonts w:ascii="Aptos" w:hAnsi="Aptos"/>
                <w:b/>
                <w:i w:val="0"/>
                <w:color w:val="FFFFFF"/>
                <w:sz w:val="19"/>
              </w:rPr>
              <w:t>Severity</w:t>
            </w:r>
          </w:p>
        </w:tc>
        <w:tc>
          <w:tcPr>
            <w:tcW w:type="dxa" w:w="3360"/>
            <w:shd w:fill="164E63"/>
            <w:tcMar>
              <w:top w:w="80" w:type="dxa"/>
              <w:start w:w="100" w:type="dxa"/>
              <w:bottom w:w="80" w:type="dxa"/>
              <w:end w:w="100" w:type="dxa"/>
            </w:tcMar>
          </w:tcPr>
          <w:p>
            <w:r>
              <w:rPr>
                <w:rFonts w:ascii="Aptos" w:hAnsi="Aptos"/>
                <w:b/>
                <w:i w:val="0"/>
                <w:color w:val="FFFFFF"/>
                <w:sz w:val="19"/>
              </w:rPr>
              <w:t>Count</w:t>
            </w:r>
          </w:p>
        </w:tc>
        <w:tc>
          <w:tcPr>
            <w:tcW w:type="dxa" w:w="3360"/>
            <w:shd w:fill="164E63"/>
            <w:tcMar>
              <w:top w:w="80" w:type="dxa"/>
              <w:start w:w="100" w:type="dxa"/>
              <w:bottom w:w="80" w:type="dxa"/>
              <w:end w:w="100" w:type="dxa"/>
            </w:tcMar>
          </w:tcPr>
          <w:p>
            <w:r>
              <w:rPr>
                <w:rFonts w:ascii="Aptos" w:hAnsi="Aptos"/>
                <w:b/>
                <w:i w:val="0"/>
                <w:color w:val="FFFFFF"/>
                <w:sz w:val="19"/>
              </w:rPr>
              <w:t>Current status</w:t>
            </w:r>
          </w:p>
        </w:tc>
      </w:tr>
      <w:tr>
        <w:tc>
          <w:tcPr>
            <w:tcW w:type="dxa" w:w="3360"/>
            <w:tcMar>
              <w:top w:w="80" w:type="dxa"/>
              <w:start w:w="100" w:type="dxa"/>
              <w:bottom w:w="80" w:type="dxa"/>
              <w:end w:w="100" w:type="dxa"/>
            </w:tcMar>
            <w:tcBorders>
              <w:top w:val="single" w:sz="4" w:color="E5E7EB"/>
              <w:left w:val="single" w:sz="4" w:color="E5E7EB"/>
              <w:bottom w:val="single" w:sz="4" w:color="E5E7EB"/>
              <w:right w:val="single" w:sz="4" w:color="E5E7EB"/>
            </w:tcBorders>
          </w:tcPr>
          <w:p>
            <w:r>
              <w:rPr>
                <w:rFonts w:ascii="Aptos" w:hAnsi="Aptos"/>
                <w:b w:val="0"/>
                <w:i w:val="0"/>
                <w:sz w:val="19"/>
              </w:rPr>
              <w:t>Major</w:t>
            </w:r>
          </w:p>
        </w:tc>
        <w:tc>
          <w:tcPr>
            <w:tcW w:type="dxa" w:w="3360"/>
            <w:tcMar>
              <w:top w:w="80" w:type="dxa"/>
              <w:start w:w="100" w:type="dxa"/>
              <w:bottom w:w="80" w:type="dxa"/>
              <w:end w:w="100" w:type="dxa"/>
            </w:tcMar>
            <w:tcBorders>
              <w:top w:val="single" w:sz="4" w:color="E5E7EB"/>
              <w:left w:val="single" w:sz="4" w:color="E5E7EB"/>
              <w:bottom w:val="single" w:sz="4" w:color="E5E7EB"/>
              <w:right w:val="single" w:sz="4" w:color="E5E7EB"/>
            </w:tcBorders>
          </w:tcPr>
          <w:p>
            <w:pPr>
              <w:jc w:val="center"/>
            </w:pPr>
            <w:r>
              <w:rPr>
                <w:rFonts w:ascii="Aptos" w:hAnsi="Aptos"/>
                <w:b w:val="0"/>
                <w:i w:val="0"/>
                <w:sz w:val="19"/>
              </w:rPr>
              <w:t>0</w:t>
            </w:r>
          </w:p>
        </w:tc>
        <w:tc>
          <w:tcPr>
            <w:tcW w:type="dxa" w:w="3360"/>
            <w:tcMar>
              <w:top w:w="80" w:type="dxa"/>
              <w:start w:w="100" w:type="dxa"/>
              <w:bottom w:w="80" w:type="dxa"/>
              <w:end w:w="100" w:type="dxa"/>
            </w:tcMar>
            <w:tcBorders>
              <w:top w:val="single" w:sz="4" w:color="E5E7EB"/>
              <w:left w:val="single" w:sz="4" w:color="E5E7EB"/>
              <w:bottom w:val="single" w:sz="4" w:color="E5E7EB"/>
              <w:right w:val="single" w:sz="4" w:color="E5E7EB"/>
            </w:tcBorders>
          </w:tcPr>
          <w:p>
            <w:r>
              <w:rPr>
                <w:rFonts w:ascii="Aptos" w:hAnsi="Aptos"/>
                <w:b w:val="0"/>
                <w:i w:val="0"/>
                <w:sz w:val="19"/>
              </w:rPr>
              <w:t>None</w:t>
            </w:r>
          </w:p>
        </w:tc>
      </w:tr>
      <w:tr>
        <w:tc>
          <w:tcPr>
            <w:tcW w:type="dxa" w:w="3360"/>
            <w:tcMar>
              <w:top w:w="80" w:type="dxa"/>
              <w:start w:w="100" w:type="dxa"/>
              <w:bottom w:w="80" w:type="dxa"/>
              <w:end w:w="100" w:type="dxa"/>
            </w:tcMar>
            <w:tcBorders>
              <w:top w:val="single" w:sz="4" w:color="E5E7EB"/>
              <w:left w:val="single" w:sz="4" w:color="E5E7EB"/>
              <w:bottom w:val="single" w:sz="4" w:color="E5E7EB"/>
              <w:right w:val="single" w:sz="4" w:color="E5E7EB"/>
            </w:tcBorders>
          </w:tcPr>
          <w:p>
            <w:r>
              <w:rPr>
                <w:rFonts w:ascii="Aptos" w:hAnsi="Aptos"/>
                <w:b w:val="0"/>
                <w:i w:val="0"/>
                <w:sz w:val="19"/>
              </w:rPr>
              <w:t>Moderate</w:t>
            </w:r>
          </w:p>
        </w:tc>
        <w:tc>
          <w:tcPr>
            <w:tcW w:type="dxa" w:w="3360"/>
            <w:tcMar>
              <w:top w:w="80" w:type="dxa"/>
              <w:start w:w="100" w:type="dxa"/>
              <w:bottom w:w="80" w:type="dxa"/>
              <w:end w:w="100" w:type="dxa"/>
            </w:tcMar>
            <w:tcBorders>
              <w:top w:val="single" w:sz="4" w:color="E5E7EB"/>
              <w:left w:val="single" w:sz="4" w:color="E5E7EB"/>
              <w:bottom w:val="single" w:sz="4" w:color="E5E7EB"/>
              <w:right w:val="single" w:sz="4" w:color="E5E7EB"/>
            </w:tcBorders>
          </w:tcPr>
          <w:p>
            <w:pPr>
              <w:jc w:val="center"/>
            </w:pPr>
            <w:r>
              <w:rPr>
                <w:rFonts w:ascii="Aptos" w:hAnsi="Aptos"/>
                <w:b w:val="0"/>
                <w:i w:val="0"/>
                <w:sz w:val="19"/>
              </w:rPr>
              <w:t>2</w:t>
            </w:r>
          </w:p>
        </w:tc>
        <w:tc>
          <w:tcPr>
            <w:tcW w:type="dxa" w:w="3360"/>
            <w:tcMar>
              <w:top w:w="80" w:type="dxa"/>
              <w:start w:w="100" w:type="dxa"/>
              <w:bottom w:w="80" w:type="dxa"/>
              <w:end w:w="100" w:type="dxa"/>
            </w:tcMar>
            <w:tcBorders>
              <w:top w:val="single" w:sz="4" w:color="E5E7EB"/>
              <w:left w:val="single" w:sz="4" w:color="E5E7EB"/>
              <w:bottom w:val="single" w:sz="4" w:color="E5E7EB"/>
              <w:right w:val="single" w:sz="4" w:color="E5E7EB"/>
            </w:tcBorders>
          </w:tcPr>
          <w:p>
            <w:r>
              <w:rPr>
                <w:rFonts w:ascii="Aptos" w:hAnsi="Aptos"/>
                <w:b w:val="0"/>
                <w:i w:val="0"/>
                <w:sz w:val="19"/>
              </w:rPr>
              <w:t>Open</w:t>
            </w:r>
          </w:p>
        </w:tc>
      </w:tr>
      <w:tr>
        <w:tc>
          <w:tcPr>
            <w:tcW w:type="dxa" w:w="3360"/>
            <w:tcMar>
              <w:top w:w="80" w:type="dxa"/>
              <w:start w:w="100" w:type="dxa"/>
              <w:bottom w:w="80" w:type="dxa"/>
              <w:end w:w="100" w:type="dxa"/>
            </w:tcMar>
            <w:tcBorders>
              <w:top w:val="single" w:sz="4" w:color="E5E7EB"/>
              <w:left w:val="single" w:sz="4" w:color="E5E7EB"/>
              <w:bottom w:val="single" w:sz="4" w:color="E5E7EB"/>
              <w:right w:val="single" w:sz="4" w:color="E5E7EB"/>
            </w:tcBorders>
          </w:tcPr>
          <w:p>
            <w:r>
              <w:rPr>
                <w:rFonts w:ascii="Aptos" w:hAnsi="Aptos"/>
                <w:b w:val="0"/>
                <w:i w:val="0"/>
                <w:sz w:val="19"/>
              </w:rPr>
              <w:t>Minor</w:t>
            </w:r>
          </w:p>
        </w:tc>
        <w:tc>
          <w:tcPr>
            <w:tcW w:type="dxa" w:w="3360"/>
            <w:tcMar>
              <w:top w:w="80" w:type="dxa"/>
              <w:start w:w="100" w:type="dxa"/>
              <w:bottom w:w="80" w:type="dxa"/>
              <w:end w:w="100" w:type="dxa"/>
            </w:tcMar>
            <w:tcBorders>
              <w:top w:val="single" w:sz="4" w:color="E5E7EB"/>
              <w:left w:val="single" w:sz="4" w:color="E5E7EB"/>
              <w:bottom w:val="single" w:sz="4" w:color="E5E7EB"/>
              <w:right w:val="single" w:sz="4" w:color="E5E7EB"/>
            </w:tcBorders>
          </w:tcPr>
          <w:p>
            <w:pPr>
              <w:jc w:val="center"/>
            </w:pPr>
            <w:r>
              <w:rPr>
                <w:rFonts w:ascii="Aptos" w:hAnsi="Aptos"/>
                <w:b w:val="0"/>
                <w:i w:val="0"/>
                <w:sz w:val="19"/>
              </w:rPr>
              <w:t>1</w:t>
            </w:r>
          </w:p>
        </w:tc>
        <w:tc>
          <w:tcPr>
            <w:tcW w:type="dxa" w:w="3360"/>
            <w:tcMar>
              <w:top w:w="80" w:type="dxa"/>
              <w:start w:w="100" w:type="dxa"/>
              <w:bottom w:w="80" w:type="dxa"/>
              <w:end w:w="100" w:type="dxa"/>
            </w:tcMar>
            <w:tcBorders>
              <w:top w:val="single" w:sz="4" w:color="E5E7EB"/>
              <w:left w:val="single" w:sz="4" w:color="E5E7EB"/>
              <w:bottom w:val="single" w:sz="4" w:color="E5E7EB"/>
              <w:right w:val="single" w:sz="4" w:color="E5E7EB"/>
            </w:tcBorders>
          </w:tcPr>
          <w:p>
            <w:r>
              <w:rPr>
                <w:rFonts w:ascii="Aptos" w:hAnsi="Aptos"/>
                <w:b w:val="0"/>
                <w:i w:val="0"/>
                <w:sz w:val="19"/>
              </w:rPr>
              <w:t>Open</w:t>
            </w:r>
          </w:p>
        </w:tc>
      </w:tr>
    </w:tbl>
    <w:p>
      <w:pPr>
        <w:spacing w:before="100" w:after="140"/>
      </w:pPr>
      <w:r>
        <w:rPr>
          <w:rFonts w:ascii="Aptos" w:hAnsi="Aptos"/>
          <w:b/>
          <w:i w:val="0"/>
          <w:color w:val="164E63"/>
          <w:sz w:val="20"/>
        </w:rPr>
        <w:t xml:space="preserve">Round 5 reviewer judgment: </w:t>
      </w:r>
      <w:r>
        <w:rPr>
          <w:rFonts w:ascii="Aptos" w:hAnsi="Aptos"/>
          <w:b w:val="0"/>
          <w:i w:val="0"/>
          <w:sz w:val="20"/>
        </w:rPr>
        <w:t>No new Major methodological concern was identified. The remaining issues are two Moderate clarifications/sensitivity checks and one Minor wording correction.</w:t>
      </w:r>
    </w:p>
    <w:p>
      <w:pPr>
        <w:pStyle w:val="Heading1"/>
        <w:spacing w:before="160" w:after="80"/>
      </w:pPr>
      <w:r>
        <w:t>2. Open Round 5 Review Comments</w:t>
      </w:r>
    </w:p>
    <w:tbl>
      <w:tblPr>
        <w:tblW w:type="auto" w:w="0"/>
        <w:jc w:val="center"/>
        <w:tblLook w:firstColumn="1" w:firstRow="1" w:lastColumn="0" w:lastRow="0" w:noHBand="0" w:noVBand="1" w:val="04A0"/>
      </w:tblPr>
      <w:tblGrid>
        <w:gridCol w:w="10080"/>
      </w:tblGrid>
      <w:tr>
        <w:tc>
          <w:tcPr>
            <w:tcW w:type="dxa" w:w="10080"/>
            <w:shd w:fill="FFF4D6"/>
            <w:tcBorders>
              <w:top w:val="single" w:sz="5" w:color="D1D5DB"/>
              <w:left w:val="single" w:sz="5" w:color="D1D5DB"/>
              <w:bottom w:val="single" w:sz="5" w:color="D1D5DB"/>
              <w:right w:val="single" w:sz="5" w:color="D1D5DB"/>
            </w:tcBorders>
            <w:tcMar>
              <w:top w:w="75" w:type="dxa"/>
              <w:start w:w="110" w:type="dxa"/>
              <w:bottom w:w="75" w:type="dxa"/>
              <w:end w:w="110" w:type="dxa"/>
            </w:tcMar>
          </w:tcPr>
          <w:p>
            <w:r>
              <w:rPr>
                <w:rFonts w:ascii="Aptos" w:hAnsi="Aptos"/>
                <w:b/>
                <w:i w:val="0"/>
                <w:color w:val="92400E"/>
                <w:sz w:val="21"/>
              </w:rPr>
              <w:t>R5-1  |  Moderate  |  Equal-child weighting after overlap exclusion</w:t>
            </w:r>
          </w:p>
        </w:tc>
      </w:tr>
    </w:tbl>
    <w:p>
      <w:pPr>
        <w:spacing w:after="50" w:line="240" w:lineRule="auto"/>
      </w:pPr>
      <w:r>
        <w:rPr>
          <w:rFonts w:ascii="Aptos" w:hAnsi="Aptos"/>
          <w:b/>
          <w:i w:val="0"/>
          <w:color w:val="92400E"/>
          <w:sz w:val="20"/>
        </w:rPr>
        <w:t xml:space="preserve">Location: </w:t>
      </w:r>
      <w:r>
        <w:rPr>
          <w:rFonts w:ascii="Aptos" w:hAnsi="Aptos"/>
          <w:b w:val="0"/>
          <w:i w:val="0"/>
          <w:sz w:val="20"/>
        </w:rPr>
        <w:t>Section 2.13; Section 3.3; Section 4.9</w:t>
      </w:r>
    </w:p>
    <w:p>
      <w:pPr>
        <w:spacing w:after="50" w:line="240" w:lineRule="auto"/>
      </w:pPr>
      <w:r>
        <w:rPr>
          <w:rFonts w:ascii="Aptos" w:hAnsi="Aptos"/>
          <w:b/>
          <w:i w:val="0"/>
          <w:color w:val="92400E"/>
          <w:sz w:val="20"/>
        </w:rPr>
        <w:t xml:space="preserve">Reviewer concern: </w:t>
      </w:r>
      <w:r>
        <w:rPr>
          <w:rFonts w:ascii="Aptos" w:hAnsi="Aptos"/>
          <w:b w:val="0"/>
          <w:i w:val="0"/>
          <w:sz w:val="20"/>
        </w:rPr>
        <w:t>The original frozen evaluation set contained 12 segments per child, but 11 overlapping episodes were subsequently removed. Although the remaining 121-segment analysis still includes all 11 children, the manuscript does not report how many segments remain for each child. The post-audit point estimates may therefore give greater weight to children who lost fewer overlapping episodes.</w:t>
      </w:r>
    </w:p>
    <w:p>
      <w:pPr>
        <w:spacing w:after="50" w:line="240" w:lineRule="auto"/>
      </w:pPr>
      <w:r>
        <w:rPr>
          <w:rFonts w:ascii="Aptos" w:hAnsi="Aptos"/>
          <w:b/>
          <w:i w:val="0"/>
          <w:color w:val="92400E"/>
          <w:sz w:val="20"/>
        </w:rPr>
        <w:t xml:space="preserve">Required action: </w:t>
      </w:r>
      <w:r>
        <w:rPr>
          <w:rFonts w:ascii="Aptos" w:hAnsi="Aptos"/>
          <w:b w:val="0"/>
          <w:i w:val="0"/>
          <w:sz w:val="20"/>
        </w:rPr>
        <w:t>Report the retained number of evaluation episodes per child after overlap exclusion. Then either (a) add an equal-child-weighted sensitivity estimate for the central 121-set metrics, or (b) explicitly state that the primary post-audit estimand is episode-weighted and justify that choice. This is expected to be a robustness check rather than a redesign of the study.</w:t>
      </w:r>
    </w:p>
    <w:p>
      <w:pPr>
        <w:spacing w:after="50" w:line="240" w:lineRule="auto"/>
      </w:pPr>
      <w:r>
        <w:rPr>
          <w:rFonts w:ascii="Aptos" w:hAnsi="Aptos"/>
          <w:b/>
          <w:i w:val="0"/>
          <w:color w:val="92400E"/>
          <w:sz w:val="20"/>
        </w:rPr>
        <w:t xml:space="preserve">Status: </w:t>
      </w:r>
      <w:r>
        <w:rPr>
          <w:rFonts w:ascii="Aptos" w:hAnsi="Aptos"/>
          <w:b w:val="0"/>
          <w:i w:val="0"/>
          <w:sz w:val="20"/>
        </w:rPr>
        <w:t>Open</w:t>
      </w:r>
    </w:p>
    <w:p>
      <w:pPr>
        <w:spacing w:after="20"/>
      </w:pPr>
    </w:p>
    <w:tbl>
      <w:tblPr>
        <w:tblW w:type="auto" w:w="0"/>
        <w:jc w:val="center"/>
        <w:tblLook w:firstColumn="1" w:firstRow="1" w:lastColumn="0" w:lastRow="0" w:noHBand="0" w:noVBand="1" w:val="04A0"/>
      </w:tblPr>
      <w:tblGrid>
        <w:gridCol w:w="10080"/>
      </w:tblGrid>
      <w:tr>
        <w:tc>
          <w:tcPr>
            <w:tcW w:type="dxa" w:w="10080"/>
            <w:shd w:fill="FFF4D6"/>
            <w:tcBorders>
              <w:top w:val="single" w:sz="5" w:color="D1D5DB"/>
              <w:left w:val="single" w:sz="5" w:color="D1D5DB"/>
              <w:bottom w:val="single" w:sz="5" w:color="D1D5DB"/>
              <w:right w:val="single" w:sz="5" w:color="D1D5DB"/>
            </w:tcBorders>
            <w:tcMar>
              <w:top w:w="75" w:type="dxa"/>
              <w:start w:w="110" w:type="dxa"/>
              <w:bottom w:w="75" w:type="dxa"/>
              <w:end w:w="110" w:type="dxa"/>
            </w:tcMar>
          </w:tcPr>
          <w:p>
            <w:r>
              <w:rPr>
                <w:rFonts w:ascii="Aptos" w:hAnsi="Aptos"/>
                <w:b/>
                <w:i w:val="0"/>
                <w:color w:val="92400E"/>
                <w:sz w:val="21"/>
              </w:rPr>
              <w:t>R5-2  |  Moderate  |  Reference-null difference appears first in Limitations</w:t>
            </w:r>
          </w:p>
        </w:tc>
      </w:tr>
    </w:tbl>
    <w:p>
      <w:pPr>
        <w:spacing w:after="50" w:line="240" w:lineRule="auto"/>
      </w:pPr>
      <w:r>
        <w:rPr>
          <w:rFonts w:ascii="Aptos" w:hAnsi="Aptos"/>
          <w:b/>
          <w:i w:val="0"/>
          <w:color w:val="92400E"/>
          <w:sz w:val="20"/>
        </w:rPr>
        <w:t xml:space="preserve">Location: </w:t>
      </w:r>
      <w:r>
        <w:rPr>
          <w:rFonts w:ascii="Aptos" w:hAnsi="Aptos"/>
          <w:b w:val="0"/>
          <w:i w:val="0"/>
          <w:sz w:val="20"/>
        </w:rPr>
        <w:t>Section 4.9, with corresponding Methods/Results sections if retained</w:t>
      </w:r>
    </w:p>
    <w:p>
      <w:pPr>
        <w:spacing w:after="50" w:line="240" w:lineRule="auto"/>
      </w:pPr>
      <w:r>
        <w:rPr>
          <w:rFonts w:ascii="Aptos" w:hAnsi="Aptos"/>
          <w:b/>
          <w:i w:val="0"/>
          <w:color w:val="92400E"/>
          <w:sz w:val="20"/>
        </w:rPr>
        <w:t xml:space="preserve">Reviewer concern: </w:t>
      </w:r>
      <w:r>
        <w:rPr>
          <w:rFonts w:ascii="Aptos" w:hAnsi="Aptos"/>
          <w:b w:val="0"/>
          <w:i w:val="0"/>
          <w:sz w:val="20"/>
        </w:rPr>
        <w:t>The Limitations section states that capped and shorter episodes differed descriptively in reference-null frequencies. That is a new empirical finding with direct relevance to unsupported-assertion evaluation, because null prevalence changes the number of opportunities on which unsupported assertion can occur. However, the manuscript does not report the actual values, comparison definition, or analysis earlier in Methods or Results.</w:t>
      </w:r>
    </w:p>
    <w:p>
      <w:pPr>
        <w:spacing w:after="50" w:line="240" w:lineRule="auto"/>
      </w:pPr>
      <w:r>
        <w:rPr>
          <w:rFonts w:ascii="Aptos" w:hAnsi="Aptos"/>
          <w:b/>
          <w:i w:val="0"/>
          <w:color w:val="92400E"/>
          <w:sz w:val="20"/>
        </w:rPr>
        <w:t xml:space="preserve">Required action: </w:t>
      </w:r>
      <w:r>
        <w:rPr>
          <w:rFonts w:ascii="Aptos" w:hAnsi="Aptos"/>
          <w:b w:val="0"/>
          <w:i w:val="0"/>
          <w:sz w:val="20"/>
        </w:rPr>
        <w:t>Either report this descriptive analysis properly in Methods/Results (define capped versus shorter episodes and provide the relevant null-frequency values, preferably by categorical field or with a clearly stated pooled definition), or remove the empirical statement from Limitations. A reviewer should not encounter a new quantitative result for the first time in the limitations narrative.</w:t>
      </w:r>
    </w:p>
    <w:p>
      <w:pPr>
        <w:spacing w:after="50" w:line="240" w:lineRule="auto"/>
      </w:pPr>
      <w:r>
        <w:rPr>
          <w:rFonts w:ascii="Aptos" w:hAnsi="Aptos"/>
          <w:b/>
          <w:i w:val="0"/>
          <w:color w:val="92400E"/>
          <w:sz w:val="20"/>
        </w:rPr>
        <w:t xml:space="preserve">Status: </w:t>
      </w:r>
      <w:r>
        <w:rPr>
          <w:rFonts w:ascii="Aptos" w:hAnsi="Aptos"/>
          <w:b w:val="0"/>
          <w:i w:val="0"/>
          <w:sz w:val="20"/>
        </w:rPr>
        <w:t>Open</w:t>
      </w:r>
    </w:p>
    <w:p>
      <w:pPr>
        <w:spacing w:after="20"/>
      </w:pPr>
    </w:p>
    <w:tbl>
      <w:tblPr>
        <w:tblW w:type="auto" w:w="0"/>
        <w:jc w:val="center"/>
        <w:tblLook w:firstColumn="1" w:firstRow="1" w:lastColumn="0" w:lastRow="0" w:noHBand="0" w:noVBand="1" w:val="04A0"/>
      </w:tblPr>
      <w:tblGrid>
        <w:gridCol w:w="10080"/>
      </w:tblGrid>
      <w:tr>
        <w:tc>
          <w:tcPr>
            <w:tcW w:type="dxa" w:w="10080"/>
            <w:shd w:fill="E7F2FA"/>
            <w:tcBorders>
              <w:top w:val="single" w:sz="5" w:color="D1D5DB"/>
              <w:left w:val="single" w:sz="5" w:color="D1D5DB"/>
              <w:bottom w:val="single" w:sz="5" w:color="D1D5DB"/>
              <w:right w:val="single" w:sz="5" w:color="D1D5DB"/>
            </w:tcBorders>
            <w:tcMar>
              <w:top w:w="75" w:type="dxa"/>
              <w:start w:w="110" w:type="dxa"/>
              <w:bottom w:w="75" w:type="dxa"/>
              <w:end w:w="110" w:type="dxa"/>
            </w:tcMar>
          </w:tcPr>
          <w:p>
            <w:r>
              <w:rPr>
                <w:rFonts w:ascii="Aptos" w:hAnsi="Aptos"/>
                <w:b/>
                <w:i w:val="0"/>
                <w:color w:val="0369A1"/>
                <w:sz w:val="21"/>
              </w:rPr>
              <w:t>R5-3  |  Minor  |  Conclusion slightly overstates stability of model ranking</w:t>
            </w:r>
          </w:p>
        </w:tc>
      </w:tr>
    </w:tbl>
    <w:p>
      <w:pPr>
        <w:spacing w:after="50" w:line="240" w:lineRule="auto"/>
      </w:pPr>
      <w:r>
        <w:rPr>
          <w:rFonts w:ascii="Aptos" w:hAnsi="Aptos"/>
          <w:b/>
          <w:i w:val="0"/>
          <w:color w:val="0369A1"/>
          <w:sz w:val="20"/>
        </w:rPr>
        <w:t xml:space="preserve">Location: </w:t>
      </w:r>
      <w:r>
        <w:rPr>
          <w:rFonts w:ascii="Aptos" w:hAnsi="Aptos"/>
          <w:b w:val="0"/>
          <w:i w:val="0"/>
          <w:sz w:val="20"/>
        </w:rPr>
        <w:t>Section 5. Conclusions</w:t>
      </w:r>
    </w:p>
    <w:p>
      <w:pPr>
        <w:spacing w:after="50" w:line="240" w:lineRule="auto"/>
      </w:pPr>
      <w:r>
        <w:rPr>
          <w:rFonts w:ascii="Aptos" w:hAnsi="Aptos"/>
          <w:b/>
          <w:i w:val="0"/>
          <w:color w:val="0369A1"/>
          <w:sz w:val="20"/>
        </w:rPr>
        <w:t xml:space="preserve">Reviewer concern: </w:t>
      </w:r>
      <w:r>
        <w:rPr>
          <w:rFonts w:ascii="Aptos" w:hAnsi="Aptos"/>
          <w:b w:val="0"/>
          <w:i w:val="0"/>
          <w:sz w:val="20"/>
        </w:rPr>
        <w:t>The Conclusion states that the post-audit 121-set preserved the broad model-ranking conclusions. However, the top-two ordering changes: Qwen 2.5 7B has slightly higher merged agreement on the main batch, while Qwen 3 14B is slightly higher on the post-audit 121-set. The paired difference is small and uncertain, so this is not a substantive scientific problem, but the phrase "preserved the broad model-ranking" is stronger than the results support.</w:t>
      </w:r>
    </w:p>
    <w:p>
      <w:pPr>
        <w:spacing w:after="50" w:line="240" w:lineRule="auto"/>
      </w:pPr>
      <w:r>
        <w:rPr>
          <w:rFonts w:ascii="Aptos" w:hAnsi="Aptos"/>
          <w:b/>
          <w:i w:val="0"/>
          <w:color w:val="0369A1"/>
          <w:sz w:val="20"/>
        </w:rPr>
        <w:t xml:space="preserve">Required action: </w:t>
      </w:r>
      <w:r>
        <w:rPr>
          <w:rFonts w:ascii="Aptos" w:hAnsi="Aptos"/>
          <w:b w:val="0"/>
          <w:i w:val="0"/>
          <w:sz w:val="20"/>
        </w:rPr>
        <w:t>Replace the phrase with wording such as "preserved the broad comparative pattern and unsupported-assertion conclusions," or explicitly state that the top-two ordering was not stable while the broader comparative conclusions were unchanged.</w:t>
      </w:r>
    </w:p>
    <w:p>
      <w:pPr>
        <w:spacing w:after="50" w:line="240" w:lineRule="auto"/>
      </w:pPr>
      <w:r>
        <w:rPr>
          <w:rFonts w:ascii="Aptos" w:hAnsi="Aptos"/>
          <w:b/>
          <w:i w:val="0"/>
          <w:color w:val="0369A1"/>
          <w:sz w:val="20"/>
        </w:rPr>
        <w:t xml:space="preserve">Status: </w:t>
      </w:r>
      <w:r>
        <w:rPr>
          <w:rFonts w:ascii="Aptos" w:hAnsi="Aptos"/>
          <w:b w:val="0"/>
          <w:i w:val="0"/>
          <w:sz w:val="20"/>
        </w:rPr>
        <w:t>Open</w:t>
      </w:r>
    </w:p>
    <w:p>
      <w:pPr>
        <w:spacing w:after="20"/>
      </w:pPr>
    </w:p>
    <w:p>
      <w:pPr>
        <w:pStyle w:val="Heading1"/>
        <w:spacing w:before="120" w:after="40"/>
      </w:pPr>
      <w:r>
        <w:t>3. Suggested Resolution Order</w:t>
      </w:r>
    </w:p>
    <w:p>
      <w:pPr>
        <w:spacing w:after="40"/>
        <w:ind w:left="216" w:hanging="216"/>
      </w:pPr>
      <w:r>
        <w:rPr>
          <w:rFonts w:ascii="Aptos" w:hAnsi="Aptos"/>
          <w:b/>
          <w:i w:val="0"/>
          <w:color w:val="0F766E"/>
          <w:sz w:val="20"/>
        </w:rPr>
        <w:t xml:space="preserve">• </w:t>
      </w:r>
      <w:r>
        <w:rPr>
          <w:rFonts w:ascii="Aptos" w:hAnsi="Aptos"/>
          <w:b w:val="0"/>
          <w:i w:val="0"/>
          <w:sz w:val="20"/>
        </w:rPr>
        <w:t>R5-1 — Check per-child counts and add an equal-child-weighted sensitivity estimate or justify the episode-weighted estimand.</w:t>
      </w:r>
    </w:p>
    <w:p>
      <w:pPr>
        <w:spacing w:after="40"/>
        <w:ind w:left="216" w:hanging="216"/>
      </w:pPr>
      <w:r>
        <w:rPr>
          <w:rFonts w:ascii="Aptos" w:hAnsi="Aptos"/>
          <w:b/>
          <w:i w:val="0"/>
          <w:color w:val="0F766E"/>
          <w:sz w:val="20"/>
        </w:rPr>
        <w:t xml:space="preserve">• </w:t>
      </w:r>
      <w:r>
        <w:rPr>
          <w:rFonts w:ascii="Aptos" w:hAnsi="Aptos"/>
          <w:b w:val="0"/>
          <w:i w:val="0"/>
          <w:sz w:val="20"/>
        </w:rPr>
        <w:t>R5-2 — Either report the capped-versus-shorter reference-null analysis properly or remove the unsupported empirical statement.</w:t>
      </w:r>
    </w:p>
    <w:p>
      <w:pPr>
        <w:spacing w:after="40"/>
        <w:ind w:left="216" w:hanging="216"/>
      </w:pPr>
      <w:r>
        <w:rPr>
          <w:rFonts w:ascii="Aptos" w:hAnsi="Aptos"/>
          <w:b/>
          <w:i w:val="0"/>
          <w:color w:val="0F766E"/>
          <w:sz w:val="20"/>
        </w:rPr>
        <w:t xml:space="preserve">• </w:t>
      </w:r>
      <w:r>
        <w:rPr>
          <w:rFonts w:ascii="Aptos" w:hAnsi="Aptos"/>
          <w:b w:val="0"/>
          <w:i w:val="0"/>
          <w:sz w:val="20"/>
        </w:rPr>
        <w:t>R5-3 — Tighten the Conclusion wording around model-ranking stability.</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6"/>
      </w:rPr>
      <w:t>Internal MDPI-style review working document — Round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E63"/>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4E63"/>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