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MDPI Round-5 Review Comments</w:t>
      </w:r>
    </w:p>
    <w:p>
      <w:r>
        <w:rPr>
          <w:color w:val="52514E"/>
        </w:rPr>
        <w:t>Answers the three open comments in 'Round5_Review_Feedback.docx', in their original order and wording. Branch model-finetuning, built 2026-09-26. Internal working document; not for submission.</w:t>
      </w:r>
    </w:p>
    <w:p>
      <w:r>
        <w:rPr>
          <w:color w:val="52514E"/>
        </w:rPr>
        <w:t xml:space="preserve">Every number is read from a recorded artefact named in the table that shows it. This round adds </w:t>
      </w:r>
      <w:r>
        <w:rPr>
          <w:rFonts w:ascii="Consolas" w:hAnsi="Consolas"/>
          <w:color w:val="52514E"/>
          <w:sz w:val="18"/>
        </w:rPr>
        <w:t>round5_analysis.json</w:t>
      </w:r>
      <w:r>
        <w:rPr>
          <w:color w:val="52514E"/>
        </w:rPr>
        <w:t xml:space="preserve">, computed from preserved outputs and the deterministic CHAT pipeline with </w:t>
      </w:r>
      <w:r>
        <w:rPr>
          <w:b/>
          <w:color w:val="52514E"/>
        </w:rPr>
        <w:t>no model call</w:t>
      </w:r>
      <w:r>
        <w:rPr>
          <w:color w:val="52514E"/>
        </w:rPr>
        <w:t>. Claims about the data are checked by assertion when this document is built.</w:t>
      </w:r>
    </w:p>
    <w:p>
      <w:pPr>
        <w:pStyle w:val="Heading1"/>
      </w:pPr>
      <w:r>
        <w:t>Summary</w:t>
      </w:r>
    </w:p>
    <w:p>
      <w:pPr>
        <w:keepNext/>
        <w:spacing w:before="120"/>
      </w:pPr>
      <w:r>
        <w:rPr>
          <w:b/>
          <w:sz w:val="19"/>
        </w:rPr>
        <w:t xml:space="preserve">Table 1. </w:t>
      </w:r>
      <w:r>
        <w:rPr>
          <w:sz w:val="19"/>
        </w:rPr>
        <w:t>Each comment and the answer in one line.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792"/>
            <w:shd w:val="clear" w:color="auto" w:fill="E8EEF6"/>
          </w:tcPr>
          <w:p>
            <w:r/>
            <w:r>
              <w:rPr>
                <w:b/>
                <w:sz w:val="18"/>
              </w:rPr>
              <w:t>ID</w:t>
            </w:r>
          </w:p>
        </w:tc>
        <w:tc>
          <w:tcPr>
            <w:tcW w:type="dxa" w:w="1224"/>
            <w:shd w:val="clear" w:color="auto" w:fill="E8EEF6"/>
          </w:tcPr>
          <w:p>
            <w:r/>
            <w:r>
              <w:rPr>
                <w:b/>
                <w:sz w:val="18"/>
              </w:rPr>
              <w:t>Severity</w:t>
            </w:r>
          </w:p>
        </w:tc>
        <w:tc>
          <w:tcPr>
            <w:tcW w:type="dxa" w:w="7632"/>
            <w:shd w:val="clear" w:color="auto" w:fill="E8EEF6"/>
          </w:tcPr>
          <w:p>
            <w:r/>
            <w:r>
              <w:rPr>
                <w:b/>
                <w:sz w:val="18"/>
              </w:rPr>
              <w:t>Answer</w:t>
            </w:r>
          </w:p>
        </w:tc>
      </w:tr>
      <w:tr>
        <w:tc>
          <w:tcPr>
            <w:tcW w:type="dxa" w:w="792"/>
          </w:tcPr>
          <w:p>
            <w:r/>
            <w:r>
              <w:rPr>
                <w:sz w:val="18"/>
              </w:rPr>
              <w:t>R5-1</w:t>
            </w:r>
          </w:p>
        </w:tc>
        <w:tc>
          <w:tcPr>
            <w:tcW w:type="dxa" w:w="1224"/>
          </w:tcPr>
          <w:p>
            <w:r/>
            <w:r>
              <w:rPr>
                <w:sz w:val="18"/>
              </w:rPr>
              <w:t>Moderate</w:t>
            </w:r>
          </w:p>
        </w:tc>
        <w:tc>
          <w:tcPr>
            <w:tcW w:type="dxa" w:w="7632"/>
          </w:tcPr>
          <w:p>
            <w:r/>
            <w:r>
              <w:rPr>
                <w:sz w:val="18"/>
              </w:rPr>
              <w:t>Per-child counts reported (6–12). Episode-weighted estimand kept as primary and stated; equal-child sensitivity added. Agreement robust; 121-set unsupported-assertion gap not</w:t>
            </w:r>
          </w:p>
        </w:tc>
      </w:tr>
      <w:tr>
        <w:tc>
          <w:tcPr>
            <w:tcW w:type="dxa" w:w="792"/>
          </w:tcPr>
          <w:p>
            <w:r/>
            <w:r>
              <w:rPr>
                <w:sz w:val="18"/>
              </w:rPr>
              <w:t>R5-2</w:t>
            </w:r>
          </w:p>
        </w:tc>
        <w:tc>
          <w:tcPr>
            <w:tcW w:type="dxa" w:w="1224"/>
          </w:tcPr>
          <w:p>
            <w:r/>
            <w:r>
              <w:rPr>
                <w:sz w:val="18"/>
              </w:rPr>
              <w:t>Moderate</w:t>
            </w:r>
          </w:p>
        </w:tc>
        <w:tc>
          <w:tcPr>
            <w:tcW w:type="dxa" w:w="7632"/>
          </w:tcPr>
          <w:p>
            <w:r/>
            <w:r>
              <w:rPr>
                <w:sz w:val="18"/>
              </w:rPr>
              <w:t>Capped-vs-shorter reference-null analysis moved into Methods/Results, by field; Limitations refers back</w:t>
            </w:r>
          </w:p>
        </w:tc>
      </w:tr>
      <w:tr>
        <w:tc>
          <w:tcPr>
            <w:tcW w:type="dxa" w:w="792"/>
          </w:tcPr>
          <w:p>
            <w:r/>
            <w:r>
              <w:rPr>
                <w:sz w:val="18"/>
              </w:rPr>
              <w:t>R5-3</w:t>
            </w:r>
          </w:p>
        </w:tc>
        <w:tc>
          <w:tcPr>
            <w:tcW w:type="dxa" w:w="1224"/>
          </w:tcPr>
          <w:p>
            <w:r/>
            <w:r>
              <w:rPr>
                <w:sz w:val="18"/>
              </w:rPr>
              <w:t>Minor</w:t>
            </w:r>
          </w:p>
        </w:tc>
        <w:tc>
          <w:tcPr>
            <w:tcW w:type="dxa" w:w="7632"/>
          </w:tcPr>
          <w:p>
            <w:r/>
            <w:r>
              <w:rPr>
                <w:sz w:val="18"/>
              </w:rPr>
              <w:t>Reviewer's Conclusion phrase adopted; top-two ordering stated as not stable</w:t>
            </w:r>
          </w:p>
        </w:tc>
      </w:tr>
    </w:tbl>
    <w:p>
      <w:pPr>
        <w:spacing w:after="0"/>
      </w:pPr>
    </w:p>
    <w:p>
      <w:pPr>
        <w:spacing w:before="160" w:after="40"/>
      </w:pPr>
      <w:r>
        <w:rPr>
          <w:b/>
          <w:color w:val="1F2933"/>
          <w:sz w:val="21"/>
        </w:rPr>
        <w:t>One result that changes what the manuscript says</w:t>
      </w:r>
    </w:p>
    <w:p>
      <w:pPr>
        <w:pStyle w:val="ListBullet"/>
      </w:pPr>
      <w:r>
        <w:rPr>
          <w:b/>
        </w:rPr>
        <w:t>R5-1:</w:t>
      </w:r>
      <w:r>
        <w:rPr/>
        <w:t xml:space="preserve"> under equal-child weighting, the qwen3:14b − qwen2.5:7b unsupported-assertion difference on the 121-set is +20.6 [-7.6, +45.9] points; its interval includes zero. Under the primary estimand it excludes zero. Both are reported.</w:t>
      </w:r>
    </w:p>
    <w:p>
      <w:r>
        <w:br w:type="page"/>
      </w:r>
    </w:p>
    <w:p>
      <w:pPr>
        <w:pStyle w:val="Heading1"/>
      </w:pPr>
      <w:r>
        <w:t>R5-1  ·  Moderate  ·  Equal-child weighting after overlap exclusion</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2.13; Section 3.3; Section 4.9</w:t>
      </w:r>
    </w:p>
    <w:p>
      <w:pPr>
        <w:spacing w:after="60"/>
        <w:ind w:left="240"/>
      </w:pPr>
      <w:r>
        <w:rPr>
          <w:b/>
          <w:color w:val="2A4E7A"/>
        </w:rPr>
        <w:t xml:space="preserve">Reviewer concern: </w:t>
      </w:r>
      <w:r>
        <w:rPr>
          <w:color w:val="2A4E7A"/>
        </w:rPr>
        <w:t>The original frozen evaluation set contained 12 segments per child, but 11 overlapping episodes were subsequently removed. Although the remaining 121-segment analysis still includes all 11 children, the manuscript does not report how many segments remain for each child. The post-audit point estimates may therefore give greater weight to children who lost fewer overlapping episodes.</w:t>
      </w:r>
    </w:p>
    <w:p>
      <w:pPr>
        <w:spacing w:after="60"/>
        <w:ind w:left="240"/>
      </w:pPr>
      <w:r>
        <w:rPr>
          <w:b/>
          <w:color w:val="2A4E7A"/>
        </w:rPr>
        <w:t xml:space="preserve">Required action: </w:t>
      </w:r>
      <w:r>
        <w:rPr>
          <w:color w:val="2A4E7A"/>
        </w:rPr>
        <w:t>Report the retained number of evaluation episodes per child after overlap exclusion. Then either (a) add an equal-child-weighted sensitivity estimate for the central 121-set metrics, or (b) explicitly state that the primary post-audit estimand is episode-weighted and justify that choice. This is expected to be a robustness check rather than a redesign of the study.</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Retained episodes per child range from 6 (roger_rollins) to 12; six children keep all 12.</w:t>
      </w:r>
      <w:r>
        <w:rPr/>
        <w:t xml:space="preserve"> We keep the episode-weighted estimand as primary, state it explicitly, and add an equal-child-weighted sensitivity estimate for the three central metrics. </w:t>
      </w:r>
      <w:r>
        <w:rPr>
          <w:b/>
        </w:rPr>
        <w:t>Merged and whole-record agreement are robust (every model moves by at most 1.1 points). Unsupported assertion is not: under equal-child weighting the qwen3:14b − qwen2.5:7b paired difference on the 121-set is +20.6 [-7.6, +45.9] points and its interval includes zero,</w:t>
      </w:r>
      <w:r>
        <w:rPr/>
        <w:t xml:space="preserve"> because per-child reference-null denominators are small. This is reported as found.</w:t>
      </w:r>
    </w:p>
    <w:p>
      <w:pPr>
        <w:keepNext/>
        <w:spacing w:before="120"/>
      </w:pPr>
      <w:r>
        <w:rPr>
          <w:b/>
          <w:sz w:val="19"/>
        </w:rPr>
        <w:t xml:space="preserve">Table 2. </w:t>
      </w:r>
      <w:r>
        <w:rPr>
          <w:sz w:val="19"/>
        </w:rPr>
        <w:t xml:space="preserve">Retained evaluation episodes per child after overlap exclusion, weights under each estimand, and reference-null slots (the unsupported-assertion denominator). Source: </w:t>
      </w:r>
      <w:r>
        <w:rPr>
          <w:rFonts w:ascii="Consolas" w:hAnsi="Consolas"/>
          <w:sz w:val="19"/>
        </w:rPr>
        <w:t>round5_analysis.json</w:t>
      </w:r>
      <w:r>
        <w:rPr>
          <w:sz w:val="19"/>
        </w:rPr>
        <w:t xml:space="preserve"> (child_weighting_121.per_child).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728"/>
            <w:shd w:val="clear" w:color="auto" w:fill="E8EEF6"/>
          </w:tcPr>
          <w:p>
            <w:r/>
            <w:r>
              <w:rPr>
                <w:b/>
                <w:sz w:val="18"/>
              </w:rPr>
              <w:t>Child</w:t>
            </w:r>
          </w:p>
        </w:tc>
        <w:tc>
          <w:tcPr>
            <w:tcW w:type="dxa" w:w="864"/>
            <w:shd w:val="clear" w:color="auto" w:fill="E8EEF6"/>
          </w:tcPr>
          <w:p>
            <w:r/>
            <w:r>
              <w:rPr>
                <w:b/>
                <w:sz w:val="18"/>
              </w:rPr>
              <w:t>Frozen</w:t>
            </w:r>
          </w:p>
        </w:tc>
        <w:tc>
          <w:tcPr>
            <w:tcW w:type="dxa" w:w="1008"/>
            <w:shd w:val="clear" w:color="auto" w:fill="E8EEF6"/>
          </w:tcPr>
          <w:p>
            <w:r/>
            <w:r>
              <w:rPr>
                <w:b/>
                <w:sz w:val="18"/>
              </w:rPr>
              <w:t>Removed</w:t>
            </w:r>
          </w:p>
        </w:tc>
        <w:tc>
          <w:tcPr>
            <w:tcW w:type="dxa" w:w="1008"/>
            <w:shd w:val="clear" w:color="auto" w:fill="E8EEF6"/>
          </w:tcPr>
          <w:p>
            <w:r/>
            <w:r>
              <w:rPr>
                <w:b/>
                <w:sz w:val="18"/>
              </w:rPr>
              <w:t>Retained</w:t>
            </w:r>
          </w:p>
        </w:tc>
        <w:tc>
          <w:tcPr>
            <w:tcW w:type="dxa" w:w="1440"/>
            <w:shd w:val="clear" w:color="auto" w:fill="E8EEF6"/>
          </w:tcPr>
          <w:p>
            <w:r/>
            <w:r>
              <w:rPr>
                <w:b/>
                <w:sz w:val="18"/>
              </w:rPr>
              <w:t>Episode weight</w:t>
            </w:r>
          </w:p>
        </w:tc>
        <w:tc>
          <w:tcPr>
            <w:tcW w:type="dxa" w:w="1584"/>
            <w:shd w:val="clear" w:color="auto" w:fill="E8EEF6"/>
          </w:tcPr>
          <w:p>
            <w:r/>
            <w:r>
              <w:rPr>
                <w:b/>
                <w:sz w:val="18"/>
              </w:rPr>
              <w:t>Equal-child weight</w:t>
            </w:r>
          </w:p>
        </w:tc>
        <w:tc>
          <w:tcPr>
            <w:tcW w:type="dxa" w:w="1872"/>
            <w:shd w:val="clear" w:color="auto" w:fill="E8EEF6"/>
          </w:tcPr>
          <w:p>
            <w:r/>
            <w:r>
              <w:rPr>
                <w:b/>
                <w:sz w:val="18"/>
              </w:rPr>
              <w:t>Reference-null slots</w:t>
            </w:r>
          </w:p>
        </w:tc>
      </w:tr>
      <w:tr>
        <w:tc>
          <w:tcPr>
            <w:tcW w:type="dxa" w:w="1728"/>
          </w:tcPr>
          <w:p>
            <w:r/>
            <w:r>
              <w:rPr>
                <w:sz w:val="18"/>
              </w:rPr>
              <w:t>brett</w:t>
            </w:r>
          </w:p>
        </w:tc>
        <w:tc>
          <w:tcPr>
            <w:tcW w:type="dxa" w:w="864"/>
          </w:tcPr>
          <w:p>
            <w:r/>
            <w:r>
              <w:rPr>
                <w:sz w:val="18"/>
              </w:rPr>
              <w:t>12</w:t>
            </w:r>
          </w:p>
        </w:tc>
        <w:tc>
          <w:tcPr>
            <w:tcW w:type="dxa" w:w="1008"/>
          </w:tcPr>
          <w:p>
            <w:r/>
            <w:r>
              <w:rPr>
                <w:sz w:val="18"/>
              </w:rPr>
              <w:t>0</w:t>
            </w:r>
          </w:p>
        </w:tc>
        <w:tc>
          <w:tcPr>
            <w:tcW w:type="dxa" w:w="1008"/>
          </w:tcPr>
          <w:p>
            <w:r/>
            <w:r>
              <w:rPr>
                <w:sz w:val="18"/>
              </w:rPr>
              <w:t>12</w:t>
            </w:r>
          </w:p>
        </w:tc>
        <w:tc>
          <w:tcPr>
            <w:tcW w:type="dxa" w:w="1440"/>
          </w:tcPr>
          <w:p>
            <w:r/>
            <w:r>
              <w:rPr>
                <w:sz w:val="18"/>
              </w:rPr>
              <w:t>9.9%</w:t>
            </w:r>
          </w:p>
        </w:tc>
        <w:tc>
          <w:tcPr>
            <w:tcW w:type="dxa" w:w="1584"/>
          </w:tcPr>
          <w:p>
            <w:r/>
            <w:r>
              <w:rPr>
                <w:sz w:val="18"/>
              </w:rPr>
              <w:t>9.1%</w:t>
            </w:r>
          </w:p>
        </w:tc>
        <w:tc>
          <w:tcPr>
            <w:tcW w:type="dxa" w:w="1872"/>
          </w:tcPr>
          <w:p>
            <w:r/>
            <w:r>
              <w:rPr>
                <w:sz w:val="18"/>
              </w:rPr>
              <w:t>2</w:t>
            </w:r>
          </w:p>
        </w:tc>
      </w:tr>
      <w:tr>
        <w:tc>
          <w:tcPr>
            <w:tcW w:type="dxa" w:w="1728"/>
          </w:tcPr>
          <w:p>
            <w:r/>
            <w:r>
              <w:rPr>
                <w:sz w:val="18"/>
              </w:rPr>
              <w:t>carl</w:t>
            </w:r>
          </w:p>
        </w:tc>
        <w:tc>
          <w:tcPr>
            <w:tcW w:type="dxa" w:w="864"/>
          </w:tcPr>
          <w:p>
            <w:r/>
            <w:r>
              <w:rPr>
                <w:sz w:val="18"/>
              </w:rPr>
              <w:t>12</w:t>
            </w:r>
          </w:p>
        </w:tc>
        <w:tc>
          <w:tcPr>
            <w:tcW w:type="dxa" w:w="1008"/>
          </w:tcPr>
          <w:p>
            <w:r/>
            <w:r>
              <w:rPr>
                <w:sz w:val="18"/>
              </w:rPr>
              <w:t>1</w:t>
            </w:r>
          </w:p>
        </w:tc>
        <w:tc>
          <w:tcPr>
            <w:tcW w:type="dxa" w:w="1008"/>
          </w:tcPr>
          <w:p>
            <w:r/>
            <w:r>
              <w:rPr>
                <w:sz w:val="18"/>
              </w:rPr>
              <w:t>11</w:t>
            </w:r>
          </w:p>
        </w:tc>
        <w:tc>
          <w:tcPr>
            <w:tcW w:type="dxa" w:w="1440"/>
          </w:tcPr>
          <w:p>
            <w:r/>
            <w:r>
              <w:rPr>
                <w:sz w:val="18"/>
              </w:rPr>
              <w:t>9.1%</w:t>
            </w:r>
          </w:p>
        </w:tc>
        <w:tc>
          <w:tcPr>
            <w:tcW w:type="dxa" w:w="1584"/>
          </w:tcPr>
          <w:p>
            <w:r/>
            <w:r>
              <w:rPr>
                <w:sz w:val="18"/>
              </w:rPr>
              <w:t>9.1%</w:t>
            </w:r>
          </w:p>
        </w:tc>
        <w:tc>
          <w:tcPr>
            <w:tcW w:type="dxa" w:w="1872"/>
          </w:tcPr>
          <w:p>
            <w:r/>
            <w:r>
              <w:rPr>
                <w:sz w:val="18"/>
              </w:rPr>
              <w:t>9</w:t>
            </w:r>
          </w:p>
        </w:tc>
      </w:tr>
      <w:tr>
        <w:tc>
          <w:tcPr>
            <w:tcW w:type="dxa" w:w="1728"/>
          </w:tcPr>
          <w:p>
            <w:r/>
            <w:r>
              <w:rPr>
                <w:sz w:val="18"/>
              </w:rPr>
              <w:t>jack</w:t>
            </w:r>
          </w:p>
        </w:tc>
        <w:tc>
          <w:tcPr>
            <w:tcW w:type="dxa" w:w="864"/>
          </w:tcPr>
          <w:p>
            <w:r/>
            <w:r>
              <w:rPr>
                <w:sz w:val="18"/>
              </w:rPr>
              <w:t>12</w:t>
            </w:r>
          </w:p>
        </w:tc>
        <w:tc>
          <w:tcPr>
            <w:tcW w:type="dxa" w:w="1008"/>
          </w:tcPr>
          <w:p>
            <w:r/>
            <w:r>
              <w:rPr>
                <w:sz w:val="18"/>
              </w:rPr>
              <w:t>0</w:t>
            </w:r>
          </w:p>
        </w:tc>
        <w:tc>
          <w:tcPr>
            <w:tcW w:type="dxa" w:w="1008"/>
          </w:tcPr>
          <w:p>
            <w:r/>
            <w:r>
              <w:rPr>
                <w:sz w:val="18"/>
              </w:rPr>
              <w:t>12</w:t>
            </w:r>
          </w:p>
        </w:tc>
        <w:tc>
          <w:tcPr>
            <w:tcW w:type="dxa" w:w="1440"/>
          </w:tcPr>
          <w:p>
            <w:r/>
            <w:r>
              <w:rPr>
                <w:sz w:val="18"/>
              </w:rPr>
              <w:t>9.9%</w:t>
            </w:r>
          </w:p>
        </w:tc>
        <w:tc>
          <w:tcPr>
            <w:tcW w:type="dxa" w:w="1584"/>
          </w:tcPr>
          <w:p>
            <w:r/>
            <w:r>
              <w:rPr>
                <w:sz w:val="18"/>
              </w:rPr>
              <w:t>9.1%</w:t>
            </w:r>
          </w:p>
        </w:tc>
        <w:tc>
          <w:tcPr>
            <w:tcW w:type="dxa" w:w="1872"/>
          </w:tcPr>
          <w:p>
            <w:r/>
            <w:r>
              <w:rPr>
                <w:sz w:val="18"/>
              </w:rPr>
              <w:t>3</w:t>
            </w:r>
          </w:p>
        </w:tc>
      </w:tr>
      <w:tr>
        <w:tc>
          <w:tcPr>
            <w:tcW w:type="dxa" w:w="1728"/>
          </w:tcPr>
          <w:p>
            <w:r/>
            <w:r>
              <w:rPr>
                <w:sz w:val="18"/>
              </w:rPr>
              <w:t>josh</w:t>
            </w:r>
          </w:p>
        </w:tc>
        <w:tc>
          <w:tcPr>
            <w:tcW w:type="dxa" w:w="864"/>
          </w:tcPr>
          <w:p>
            <w:r/>
            <w:r>
              <w:rPr>
                <w:sz w:val="18"/>
              </w:rPr>
              <w:t>12</w:t>
            </w:r>
          </w:p>
        </w:tc>
        <w:tc>
          <w:tcPr>
            <w:tcW w:type="dxa" w:w="1008"/>
          </w:tcPr>
          <w:p>
            <w:r/>
            <w:r>
              <w:rPr>
                <w:sz w:val="18"/>
              </w:rPr>
              <w:t>0</w:t>
            </w:r>
          </w:p>
        </w:tc>
        <w:tc>
          <w:tcPr>
            <w:tcW w:type="dxa" w:w="1008"/>
          </w:tcPr>
          <w:p>
            <w:r/>
            <w:r>
              <w:rPr>
                <w:sz w:val="18"/>
              </w:rPr>
              <w:t>12</w:t>
            </w:r>
          </w:p>
        </w:tc>
        <w:tc>
          <w:tcPr>
            <w:tcW w:type="dxa" w:w="1440"/>
          </w:tcPr>
          <w:p>
            <w:r/>
            <w:r>
              <w:rPr>
                <w:sz w:val="18"/>
              </w:rPr>
              <w:t>9.9%</w:t>
            </w:r>
          </w:p>
        </w:tc>
        <w:tc>
          <w:tcPr>
            <w:tcW w:type="dxa" w:w="1584"/>
          </w:tcPr>
          <w:p>
            <w:r/>
            <w:r>
              <w:rPr>
                <w:sz w:val="18"/>
              </w:rPr>
              <w:t>9.1%</w:t>
            </w:r>
          </w:p>
        </w:tc>
        <w:tc>
          <w:tcPr>
            <w:tcW w:type="dxa" w:w="1872"/>
          </w:tcPr>
          <w:p>
            <w:r/>
            <w:r>
              <w:rPr>
                <w:sz w:val="18"/>
              </w:rPr>
              <w:t>8</w:t>
            </w:r>
          </w:p>
        </w:tc>
      </w:tr>
      <w:tr>
        <w:tc>
          <w:tcPr>
            <w:tcW w:type="dxa" w:w="1728"/>
          </w:tcPr>
          <w:p>
            <w:r/>
            <w:r>
              <w:rPr>
                <w:sz w:val="18"/>
              </w:rPr>
              <w:t>mark</w:t>
            </w:r>
          </w:p>
        </w:tc>
        <w:tc>
          <w:tcPr>
            <w:tcW w:type="dxa" w:w="864"/>
          </w:tcPr>
          <w:p>
            <w:r/>
            <w:r>
              <w:rPr>
                <w:sz w:val="18"/>
              </w:rPr>
              <w:t>12</w:t>
            </w:r>
          </w:p>
        </w:tc>
        <w:tc>
          <w:tcPr>
            <w:tcW w:type="dxa" w:w="1008"/>
          </w:tcPr>
          <w:p>
            <w:r/>
            <w:r>
              <w:rPr>
                <w:sz w:val="18"/>
              </w:rPr>
              <w:t>0</w:t>
            </w:r>
          </w:p>
        </w:tc>
        <w:tc>
          <w:tcPr>
            <w:tcW w:type="dxa" w:w="1008"/>
          </w:tcPr>
          <w:p>
            <w:r/>
            <w:r>
              <w:rPr>
                <w:sz w:val="18"/>
              </w:rPr>
              <w:t>12</w:t>
            </w:r>
          </w:p>
        </w:tc>
        <w:tc>
          <w:tcPr>
            <w:tcW w:type="dxa" w:w="1440"/>
          </w:tcPr>
          <w:p>
            <w:r/>
            <w:r>
              <w:rPr>
                <w:sz w:val="18"/>
              </w:rPr>
              <w:t>9.9%</w:t>
            </w:r>
          </w:p>
        </w:tc>
        <w:tc>
          <w:tcPr>
            <w:tcW w:type="dxa" w:w="1584"/>
          </w:tcPr>
          <w:p>
            <w:r/>
            <w:r>
              <w:rPr>
                <w:sz w:val="18"/>
              </w:rPr>
              <w:t>9.1%</w:t>
            </w:r>
          </w:p>
        </w:tc>
        <w:tc>
          <w:tcPr>
            <w:tcW w:type="dxa" w:w="1872"/>
          </w:tcPr>
          <w:p>
            <w:r/>
            <w:r>
              <w:rPr>
                <w:sz w:val="18"/>
              </w:rPr>
              <w:t>1</w:t>
            </w:r>
          </w:p>
        </w:tc>
      </w:tr>
      <w:tr>
        <w:tc>
          <w:tcPr>
            <w:tcW w:type="dxa" w:w="1728"/>
          </w:tcPr>
          <w:p>
            <w:r/>
            <w:r>
              <w:rPr>
                <w:sz w:val="18"/>
              </w:rPr>
              <w:t>mars</w:t>
            </w:r>
          </w:p>
        </w:tc>
        <w:tc>
          <w:tcPr>
            <w:tcW w:type="dxa" w:w="864"/>
          </w:tcPr>
          <w:p>
            <w:r/>
            <w:r>
              <w:rPr>
                <w:sz w:val="18"/>
              </w:rPr>
              <w:t>12</w:t>
            </w:r>
          </w:p>
        </w:tc>
        <w:tc>
          <w:tcPr>
            <w:tcW w:type="dxa" w:w="1008"/>
          </w:tcPr>
          <w:p>
            <w:r/>
            <w:r>
              <w:rPr>
                <w:sz w:val="18"/>
              </w:rPr>
              <w:t>2</w:t>
            </w:r>
          </w:p>
        </w:tc>
        <w:tc>
          <w:tcPr>
            <w:tcW w:type="dxa" w:w="1008"/>
          </w:tcPr>
          <w:p>
            <w:r/>
            <w:r>
              <w:rPr>
                <w:sz w:val="18"/>
              </w:rPr>
              <w:t>10</w:t>
            </w:r>
          </w:p>
        </w:tc>
        <w:tc>
          <w:tcPr>
            <w:tcW w:type="dxa" w:w="1440"/>
          </w:tcPr>
          <w:p>
            <w:r/>
            <w:r>
              <w:rPr>
                <w:sz w:val="18"/>
              </w:rPr>
              <w:t>8.3%</w:t>
            </w:r>
          </w:p>
        </w:tc>
        <w:tc>
          <w:tcPr>
            <w:tcW w:type="dxa" w:w="1584"/>
          </w:tcPr>
          <w:p>
            <w:r/>
            <w:r>
              <w:rPr>
                <w:sz w:val="18"/>
              </w:rPr>
              <w:t>9.1%</w:t>
            </w:r>
          </w:p>
        </w:tc>
        <w:tc>
          <w:tcPr>
            <w:tcW w:type="dxa" w:w="1872"/>
          </w:tcPr>
          <w:p>
            <w:r/>
            <w:r>
              <w:rPr>
                <w:sz w:val="18"/>
              </w:rPr>
              <w:t>8</w:t>
            </w:r>
          </w:p>
        </w:tc>
      </w:tr>
      <w:tr>
        <w:tc>
          <w:tcPr>
            <w:tcW w:type="dxa" w:w="1728"/>
          </w:tcPr>
          <w:p>
            <w:r/>
            <w:r>
              <w:rPr>
                <w:sz w:val="18"/>
              </w:rPr>
              <w:t>rick</w:t>
            </w:r>
          </w:p>
        </w:tc>
        <w:tc>
          <w:tcPr>
            <w:tcW w:type="dxa" w:w="864"/>
          </w:tcPr>
          <w:p>
            <w:r/>
            <w:r>
              <w:rPr>
                <w:sz w:val="18"/>
              </w:rPr>
              <w:t>12</w:t>
            </w:r>
          </w:p>
        </w:tc>
        <w:tc>
          <w:tcPr>
            <w:tcW w:type="dxa" w:w="1008"/>
          </w:tcPr>
          <w:p>
            <w:r/>
            <w:r>
              <w:rPr>
                <w:sz w:val="18"/>
              </w:rPr>
              <w:t>0</w:t>
            </w:r>
          </w:p>
        </w:tc>
        <w:tc>
          <w:tcPr>
            <w:tcW w:type="dxa" w:w="1008"/>
          </w:tcPr>
          <w:p>
            <w:r/>
            <w:r>
              <w:rPr>
                <w:sz w:val="18"/>
              </w:rPr>
              <w:t>12</w:t>
            </w:r>
          </w:p>
        </w:tc>
        <w:tc>
          <w:tcPr>
            <w:tcW w:type="dxa" w:w="1440"/>
          </w:tcPr>
          <w:p>
            <w:r/>
            <w:r>
              <w:rPr>
                <w:sz w:val="18"/>
              </w:rPr>
              <w:t>9.9%</w:t>
            </w:r>
          </w:p>
        </w:tc>
        <w:tc>
          <w:tcPr>
            <w:tcW w:type="dxa" w:w="1584"/>
          </w:tcPr>
          <w:p>
            <w:r/>
            <w:r>
              <w:rPr>
                <w:sz w:val="18"/>
              </w:rPr>
              <w:t>9.1%</w:t>
            </w:r>
          </w:p>
        </w:tc>
        <w:tc>
          <w:tcPr>
            <w:tcW w:type="dxa" w:w="1872"/>
          </w:tcPr>
          <w:p>
            <w:r/>
            <w:r>
              <w:rPr>
                <w:sz w:val="18"/>
              </w:rPr>
              <w:t>0</w:t>
            </w:r>
          </w:p>
        </w:tc>
      </w:tr>
      <w:tr>
        <w:tc>
          <w:tcPr>
            <w:tcW w:type="dxa" w:w="1728"/>
          </w:tcPr>
          <w:p>
            <w:r/>
            <w:r>
              <w:rPr>
                <w:sz w:val="18"/>
              </w:rPr>
              <w:t>roger_flusberg</w:t>
            </w:r>
          </w:p>
        </w:tc>
        <w:tc>
          <w:tcPr>
            <w:tcW w:type="dxa" w:w="864"/>
          </w:tcPr>
          <w:p>
            <w:r/>
            <w:r>
              <w:rPr>
                <w:sz w:val="18"/>
              </w:rPr>
              <w:t>12</w:t>
            </w:r>
          </w:p>
        </w:tc>
        <w:tc>
          <w:tcPr>
            <w:tcW w:type="dxa" w:w="1008"/>
          </w:tcPr>
          <w:p>
            <w:r/>
            <w:r>
              <w:rPr>
                <w:sz w:val="18"/>
              </w:rPr>
              <w:t>0</w:t>
            </w:r>
          </w:p>
        </w:tc>
        <w:tc>
          <w:tcPr>
            <w:tcW w:type="dxa" w:w="1008"/>
          </w:tcPr>
          <w:p>
            <w:r/>
            <w:r>
              <w:rPr>
                <w:sz w:val="18"/>
              </w:rPr>
              <w:t>12</w:t>
            </w:r>
          </w:p>
        </w:tc>
        <w:tc>
          <w:tcPr>
            <w:tcW w:type="dxa" w:w="1440"/>
          </w:tcPr>
          <w:p>
            <w:r/>
            <w:r>
              <w:rPr>
                <w:sz w:val="18"/>
              </w:rPr>
              <w:t>9.9%</w:t>
            </w:r>
          </w:p>
        </w:tc>
        <w:tc>
          <w:tcPr>
            <w:tcW w:type="dxa" w:w="1584"/>
          </w:tcPr>
          <w:p>
            <w:r/>
            <w:r>
              <w:rPr>
                <w:sz w:val="18"/>
              </w:rPr>
              <w:t>9.1%</w:t>
            </w:r>
          </w:p>
        </w:tc>
        <w:tc>
          <w:tcPr>
            <w:tcW w:type="dxa" w:w="1872"/>
          </w:tcPr>
          <w:p>
            <w:r/>
            <w:r>
              <w:rPr>
                <w:sz w:val="18"/>
              </w:rPr>
              <w:t>4</w:t>
            </w:r>
          </w:p>
        </w:tc>
      </w:tr>
      <w:tr>
        <w:tc>
          <w:tcPr>
            <w:tcW w:type="dxa" w:w="1728"/>
          </w:tcPr>
          <w:p>
            <w:r/>
            <w:r>
              <w:rPr>
                <w:sz w:val="18"/>
              </w:rPr>
              <w:t>roger_rollins</w:t>
            </w:r>
          </w:p>
        </w:tc>
        <w:tc>
          <w:tcPr>
            <w:tcW w:type="dxa" w:w="864"/>
          </w:tcPr>
          <w:p>
            <w:r/>
            <w:r>
              <w:rPr>
                <w:sz w:val="18"/>
              </w:rPr>
              <w:t>12</w:t>
            </w:r>
          </w:p>
        </w:tc>
        <w:tc>
          <w:tcPr>
            <w:tcW w:type="dxa" w:w="1008"/>
          </w:tcPr>
          <w:p>
            <w:r/>
            <w:r>
              <w:rPr>
                <w:sz w:val="18"/>
              </w:rPr>
              <w:t>6</w:t>
            </w:r>
          </w:p>
        </w:tc>
        <w:tc>
          <w:tcPr>
            <w:tcW w:type="dxa" w:w="1008"/>
          </w:tcPr>
          <w:p>
            <w:r/>
            <w:r>
              <w:rPr>
                <w:sz w:val="18"/>
              </w:rPr>
              <w:t>6</w:t>
            </w:r>
          </w:p>
        </w:tc>
        <w:tc>
          <w:tcPr>
            <w:tcW w:type="dxa" w:w="1440"/>
          </w:tcPr>
          <w:p>
            <w:r/>
            <w:r>
              <w:rPr>
                <w:sz w:val="18"/>
              </w:rPr>
              <w:t>5.0%</w:t>
            </w:r>
          </w:p>
        </w:tc>
        <w:tc>
          <w:tcPr>
            <w:tcW w:type="dxa" w:w="1584"/>
          </w:tcPr>
          <w:p>
            <w:r/>
            <w:r>
              <w:rPr>
                <w:sz w:val="18"/>
              </w:rPr>
              <w:t>9.1%</w:t>
            </w:r>
          </w:p>
        </w:tc>
        <w:tc>
          <w:tcPr>
            <w:tcW w:type="dxa" w:w="1872"/>
          </w:tcPr>
          <w:p>
            <w:r/>
            <w:r>
              <w:rPr>
                <w:sz w:val="18"/>
              </w:rPr>
              <w:t>8</w:t>
            </w:r>
          </w:p>
        </w:tc>
      </w:tr>
      <w:tr>
        <w:tc>
          <w:tcPr>
            <w:tcW w:type="dxa" w:w="1728"/>
          </w:tcPr>
          <w:p>
            <w:r/>
            <w:r>
              <w:rPr>
                <w:sz w:val="18"/>
              </w:rPr>
              <w:t>sid</w:t>
            </w:r>
          </w:p>
        </w:tc>
        <w:tc>
          <w:tcPr>
            <w:tcW w:type="dxa" w:w="864"/>
          </w:tcPr>
          <w:p>
            <w:r/>
            <w:r>
              <w:rPr>
                <w:sz w:val="18"/>
              </w:rPr>
              <w:t>12</w:t>
            </w:r>
          </w:p>
        </w:tc>
        <w:tc>
          <w:tcPr>
            <w:tcW w:type="dxa" w:w="1008"/>
          </w:tcPr>
          <w:p>
            <w:r/>
            <w:r>
              <w:rPr>
                <w:sz w:val="18"/>
              </w:rPr>
              <w:t>1</w:t>
            </w:r>
          </w:p>
        </w:tc>
        <w:tc>
          <w:tcPr>
            <w:tcW w:type="dxa" w:w="1008"/>
          </w:tcPr>
          <w:p>
            <w:r/>
            <w:r>
              <w:rPr>
                <w:sz w:val="18"/>
              </w:rPr>
              <w:t>11</w:t>
            </w:r>
          </w:p>
        </w:tc>
        <w:tc>
          <w:tcPr>
            <w:tcW w:type="dxa" w:w="1440"/>
          </w:tcPr>
          <w:p>
            <w:r/>
            <w:r>
              <w:rPr>
                <w:sz w:val="18"/>
              </w:rPr>
              <w:t>9.1%</w:t>
            </w:r>
          </w:p>
        </w:tc>
        <w:tc>
          <w:tcPr>
            <w:tcW w:type="dxa" w:w="1584"/>
          </w:tcPr>
          <w:p>
            <w:r/>
            <w:r>
              <w:rPr>
                <w:sz w:val="18"/>
              </w:rPr>
              <w:t>9.1%</w:t>
            </w:r>
          </w:p>
        </w:tc>
        <w:tc>
          <w:tcPr>
            <w:tcW w:type="dxa" w:w="1872"/>
          </w:tcPr>
          <w:p>
            <w:r/>
            <w:r>
              <w:rPr>
                <w:sz w:val="18"/>
              </w:rPr>
              <w:t>10</w:t>
            </w:r>
          </w:p>
        </w:tc>
      </w:tr>
      <w:tr>
        <w:tc>
          <w:tcPr>
            <w:tcW w:type="dxa" w:w="1728"/>
          </w:tcPr>
          <w:p>
            <w:r/>
            <w:r>
              <w:rPr>
                <w:sz w:val="18"/>
              </w:rPr>
              <w:t>stuart</w:t>
            </w:r>
          </w:p>
        </w:tc>
        <w:tc>
          <w:tcPr>
            <w:tcW w:type="dxa" w:w="864"/>
          </w:tcPr>
          <w:p>
            <w:r/>
            <w:r>
              <w:rPr>
                <w:sz w:val="18"/>
              </w:rPr>
              <w:t>12</w:t>
            </w:r>
          </w:p>
        </w:tc>
        <w:tc>
          <w:tcPr>
            <w:tcW w:type="dxa" w:w="1008"/>
          </w:tcPr>
          <w:p>
            <w:r/>
            <w:r>
              <w:rPr>
                <w:sz w:val="18"/>
              </w:rPr>
              <w:t>1</w:t>
            </w:r>
          </w:p>
        </w:tc>
        <w:tc>
          <w:tcPr>
            <w:tcW w:type="dxa" w:w="1008"/>
          </w:tcPr>
          <w:p>
            <w:r/>
            <w:r>
              <w:rPr>
                <w:sz w:val="18"/>
              </w:rPr>
              <w:t>11</w:t>
            </w:r>
          </w:p>
        </w:tc>
        <w:tc>
          <w:tcPr>
            <w:tcW w:type="dxa" w:w="1440"/>
          </w:tcPr>
          <w:p>
            <w:r/>
            <w:r>
              <w:rPr>
                <w:sz w:val="18"/>
              </w:rPr>
              <w:t>9.1%</w:t>
            </w:r>
          </w:p>
        </w:tc>
        <w:tc>
          <w:tcPr>
            <w:tcW w:type="dxa" w:w="1584"/>
          </w:tcPr>
          <w:p>
            <w:r/>
            <w:r>
              <w:rPr>
                <w:sz w:val="18"/>
              </w:rPr>
              <w:t>9.1%</w:t>
            </w:r>
          </w:p>
        </w:tc>
        <w:tc>
          <w:tcPr>
            <w:tcW w:type="dxa" w:w="1872"/>
          </w:tcPr>
          <w:p>
            <w:r/>
            <w:r>
              <w:rPr>
                <w:sz w:val="18"/>
              </w:rPr>
              <w:t>0</w:t>
            </w:r>
          </w:p>
        </w:tc>
      </w:tr>
      <w:tr>
        <w:tc>
          <w:tcPr>
            <w:tcW w:type="dxa" w:w="1728"/>
          </w:tcPr>
          <w:p>
            <w:r/>
            <w:r>
              <w:rPr>
                <w:sz w:val="18"/>
              </w:rPr>
              <w:t>Total</w:t>
            </w:r>
          </w:p>
        </w:tc>
        <w:tc>
          <w:tcPr>
            <w:tcW w:type="dxa" w:w="864"/>
          </w:tcPr>
          <w:p>
            <w:r/>
            <w:r>
              <w:rPr>
                <w:sz w:val="18"/>
              </w:rPr>
              <w:t>132</w:t>
            </w:r>
          </w:p>
        </w:tc>
        <w:tc>
          <w:tcPr>
            <w:tcW w:type="dxa" w:w="1008"/>
          </w:tcPr>
          <w:p>
            <w:r/>
            <w:r>
              <w:rPr>
                <w:sz w:val="18"/>
              </w:rPr>
              <w:t>11</w:t>
            </w:r>
          </w:p>
        </w:tc>
        <w:tc>
          <w:tcPr>
            <w:tcW w:type="dxa" w:w="1008"/>
          </w:tcPr>
          <w:p>
            <w:r/>
            <w:r>
              <w:rPr>
                <w:sz w:val="18"/>
              </w:rPr>
              <w:t>121</w:t>
            </w:r>
          </w:p>
        </w:tc>
        <w:tc>
          <w:tcPr>
            <w:tcW w:type="dxa" w:w="1440"/>
          </w:tcPr>
          <w:p>
            <w:r/>
            <w:r>
              <w:rPr>
                <w:sz w:val="18"/>
              </w:rPr>
              <w:t>100%</w:t>
            </w:r>
          </w:p>
        </w:tc>
        <w:tc>
          <w:tcPr>
            <w:tcW w:type="dxa" w:w="1584"/>
          </w:tcPr>
          <w:p>
            <w:r/>
            <w:r>
              <w:rPr>
                <w:sz w:val="18"/>
              </w:rPr>
              <w:t>100%</w:t>
            </w:r>
          </w:p>
        </w:tc>
        <w:tc>
          <w:tcPr>
            <w:tcW w:type="dxa" w:w="1872"/>
          </w:tcPr>
          <w:p>
            <w:r/>
            <w:r>
              <w:rPr>
                <w:sz w:val="18"/>
              </w:rPr>
              <w:t>53</w:t>
            </w:r>
          </w:p>
        </w:tc>
      </w:tr>
    </w:tbl>
    <w:p>
      <w:pPr>
        <w:spacing w:after="0"/>
      </w:pPr>
    </w:p>
    <w:p>
      <w:pPr>
        <w:keepNext/>
        <w:spacing w:before="120"/>
      </w:pPr>
      <w:r>
        <w:rPr>
          <w:b/>
          <w:sz w:val="19"/>
        </w:rPr>
        <w:t xml:space="preserve">Table 3. </w:t>
      </w:r>
      <w:r>
        <w:rPr>
          <w:sz w:val="19"/>
        </w:rPr>
        <w:t xml:space="preserve">Central 121-set metrics, episode-weighted (primary, as recorded in </w:t>
      </w:r>
      <w:r>
        <w:rPr>
          <w:rFonts w:ascii="Consolas" w:hAnsi="Consolas"/>
          <w:sz w:val="19"/>
        </w:rPr>
        <w:t>round4_analysis.json</w:t>
      </w:r>
      <w:r>
        <w:rPr>
          <w:sz w:val="19"/>
        </w:rPr>
        <w:t xml:space="preserve">) and equal-child-weighted (sensitivity), %. Equal-child: metric within each child, then the unweighted mean of children; 95% child-cluster percentile bootstrap, 10,000 replicates. Unsupported assertion is defined for 9 of 11 children. Source: </w:t>
      </w:r>
      <w:r>
        <w:rPr>
          <w:rFonts w:ascii="Consolas" w:hAnsi="Consolas"/>
          <w:sz w:val="19"/>
        </w:rPr>
        <w:t>round5_analysis.json</w:t>
      </w:r>
      <w:r>
        <w:rPr>
          <w:sz w:val="19"/>
        </w:rPr>
        <w:t xml:space="preserve"> (child_weighting_121.per_model).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296"/>
            <w:shd w:val="clear" w:color="auto" w:fill="E8EEF6"/>
          </w:tcPr>
          <w:p>
            <w:r/>
            <w:r>
              <w:rPr>
                <w:b/>
                <w:sz w:val="18"/>
              </w:rPr>
              <w:t>Model</w:t>
            </w:r>
          </w:p>
        </w:tc>
        <w:tc>
          <w:tcPr>
            <w:tcW w:type="dxa" w:w="1080"/>
            <w:shd w:val="clear" w:color="auto" w:fill="E8EEF6"/>
          </w:tcPr>
          <w:p>
            <w:r/>
            <w:r>
              <w:rPr>
                <w:b/>
                <w:sz w:val="18"/>
              </w:rPr>
              <w:t>Merged: episode</w:t>
            </w:r>
          </w:p>
        </w:tc>
        <w:tc>
          <w:tcPr>
            <w:tcW w:type="dxa" w:w="1656"/>
            <w:shd w:val="clear" w:color="auto" w:fill="E8EEF6"/>
          </w:tcPr>
          <w:p>
            <w:r/>
            <w:r>
              <w:rPr>
                <w:b/>
                <w:sz w:val="18"/>
              </w:rPr>
              <w:t>Merged: child [CI]</w:t>
            </w:r>
          </w:p>
        </w:tc>
        <w:tc>
          <w:tcPr>
            <w:tcW w:type="dxa" w:w="1080"/>
            <w:shd w:val="clear" w:color="auto" w:fill="E8EEF6"/>
          </w:tcPr>
          <w:p>
            <w:r/>
            <w:r>
              <w:rPr>
                <w:b/>
                <w:sz w:val="18"/>
              </w:rPr>
              <w:t>Unsupp.: episode</w:t>
            </w:r>
          </w:p>
        </w:tc>
        <w:tc>
          <w:tcPr>
            <w:tcW w:type="dxa" w:w="1656"/>
            <w:shd w:val="clear" w:color="auto" w:fill="E8EEF6"/>
          </w:tcPr>
          <w:p>
            <w:r/>
            <w:r>
              <w:rPr>
                <w:b/>
                <w:sz w:val="18"/>
              </w:rPr>
              <w:t>Unsupp.: child [CI]</w:t>
            </w:r>
          </w:p>
        </w:tc>
        <w:tc>
          <w:tcPr>
            <w:tcW w:type="dxa" w:w="1008"/>
            <w:shd w:val="clear" w:color="auto" w:fill="E8EEF6"/>
          </w:tcPr>
          <w:p>
            <w:r/>
            <w:r>
              <w:rPr>
                <w:b/>
                <w:sz w:val="18"/>
              </w:rPr>
              <w:t>Whole: episode</w:t>
            </w:r>
          </w:p>
        </w:tc>
        <w:tc>
          <w:tcPr>
            <w:tcW w:type="dxa" w:w="1584"/>
            <w:shd w:val="clear" w:color="auto" w:fill="E8EEF6"/>
          </w:tcPr>
          <w:p>
            <w:r/>
            <w:r>
              <w:rPr>
                <w:b/>
                <w:sz w:val="18"/>
              </w:rPr>
              <w:t>Whole: child [CI]</w:t>
            </w:r>
          </w:p>
        </w:tc>
      </w:tr>
      <w:tr>
        <w:tc>
          <w:tcPr>
            <w:tcW w:type="dxa" w:w="1296"/>
          </w:tcPr>
          <w:p>
            <w:r/>
            <w:r>
              <w:rPr>
                <w:sz w:val="18"/>
              </w:rPr>
              <w:t>llama3.2</w:t>
            </w:r>
          </w:p>
        </w:tc>
        <w:tc>
          <w:tcPr>
            <w:tcW w:type="dxa" w:w="1080"/>
          </w:tcPr>
          <w:p>
            <w:r/>
            <w:r>
              <w:rPr>
                <w:sz w:val="18"/>
              </w:rPr>
              <w:t>27.5</w:t>
            </w:r>
          </w:p>
        </w:tc>
        <w:tc>
          <w:tcPr>
            <w:tcW w:type="dxa" w:w="1656"/>
          </w:tcPr>
          <w:p>
            <w:r/>
            <w:r>
              <w:rPr>
                <w:sz w:val="18"/>
              </w:rPr>
              <w:t>26.9 [21.4, 32.4]</w:t>
            </w:r>
          </w:p>
        </w:tc>
        <w:tc>
          <w:tcPr>
            <w:tcW w:type="dxa" w:w="1080"/>
          </w:tcPr>
          <w:p>
            <w:r/>
            <w:r>
              <w:rPr>
                <w:sz w:val="18"/>
              </w:rPr>
              <w:t>83.0</w:t>
            </w:r>
          </w:p>
        </w:tc>
        <w:tc>
          <w:tcPr>
            <w:tcW w:type="dxa" w:w="1656"/>
          </w:tcPr>
          <w:p>
            <w:r/>
            <w:r>
              <w:rPr>
                <w:sz w:val="18"/>
              </w:rPr>
              <w:t>84.6 [76.3, 93.1]</w:t>
            </w:r>
          </w:p>
        </w:tc>
        <w:tc>
          <w:tcPr>
            <w:tcW w:type="dxa" w:w="1008"/>
          </w:tcPr>
          <w:p>
            <w:r/>
            <w:r>
              <w:rPr>
                <w:sz w:val="18"/>
              </w:rPr>
              <w:t>0.0</w:t>
            </w:r>
          </w:p>
        </w:tc>
        <w:tc>
          <w:tcPr>
            <w:tcW w:type="dxa" w:w="1584"/>
          </w:tcPr>
          <w:p>
            <w:r/>
            <w:r>
              <w:rPr>
                <w:sz w:val="18"/>
              </w:rPr>
              <w:t>0.0 [0.0, 0.0]</w:t>
            </w:r>
          </w:p>
        </w:tc>
      </w:tr>
      <w:tr>
        <w:tc>
          <w:tcPr>
            <w:tcW w:type="dxa" w:w="1296"/>
          </w:tcPr>
          <w:p>
            <w:r/>
            <w:r>
              <w:rPr>
                <w:sz w:val="18"/>
              </w:rPr>
              <w:t>qwen2.5:3b</w:t>
            </w:r>
          </w:p>
        </w:tc>
        <w:tc>
          <w:tcPr>
            <w:tcW w:type="dxa" w:w="1080"/>
          </w:tcPr>
          <w:p>
            <w:r/>
            <w:r>
              <w:rPr>
                <w:sz w:val="18"/>
              </w:rPr>
              <w:t>12.6</w:t>
            </w:r>
          </w:p>
        </w:tc>
        <w:tc>
          <w:tcPr>
            <w:tcW w:type="dxa" w:w="1656"/>
          </w:tcPr>
          <w:p>
            <w:r/>
            <w:r>
              <w:rPr>
                <w:sz w:val="18"/>
              </w:rPr>
              <w:t>13.7 [9.0, 19.1]</w:t>
            </w:r>
          </w:p>
        </w:tc>
        <w:tc>
          <w:tcPr>
            <w:tcW w:type="dxa" w:w="1080"/>
          </w:tcPr>
          <w:p>
            <w:r/>
            <w:r>
              <w:rPr>
                <w:sz w:val="18"/>
              </w:rPr>
              <w:t>24.5</w:t>
            </w:r>
          </w:p>
        </w:tc>
        <w:tc>
          <w:tcPr>
            <w:tcW w:type="dxa" w:w="1656"/>
          </w:tcPr>
          <w:p>
            <w:r/>
            <w:r>
              <w:rPr>
                <w:sz w:val="18"/>
              </w:rPr>
              <w:t>25.7 [13.3, 38.0]</w:t>
            </w:r>
          </w:p>
        </w:tc>
        <w:tc>
          <w:tcPr>
            <w:tcW w:type="dxa" w:w="1008"/>
          </w:tcPr>
          <w:p>
            <w:r/>
            <w:r>
              <w:rPr>
                <w:sz w:val="18"/>
              </w:rPr>
              <w:t>0.0</w:t>
            </w:r>
          </w:p>
        </w:tc>
        <w:tc>
          <w:tcPr>
            <w:tcW w:type="dxa" w:w="1584"/>
          </w:tcPr>
          <w:p>
            <w:r/>
            <w:r>
              <w:rPr>
                <w:sz w:val="18"/>
              </w:rPr>
              <w:t>0.0 [0.0, 0.0]</w:t>
            </w:r>
          </w:p>
        </w:tc>
      </w:tr>
      <w:tr>
        <w:tc>
          <w:tcPr>
            <w:tcW w:type="dxa" w:w="1296"/>
          </w:tcPr>
          <w:p>
            <w:r/>
            <w:r>
              <w:rPr>
                <w:sz w:val="18"/>
              </w:rPr>
              <w:t>qwen2.5:7b</w:t>
            </w:r>
          </w:p>
        </w:tc>
        <w:tc>
          <w:tcPr>
            <w:tcW w:type="dxa" w:w="1080"/>
          </w:tcPr>
          <w:p>
            <w:r/>
            <w:r>
              <w:rPr>
                <w:sz w:val="18"/>
              </w:rPr>
              <w:t>40.5</w:t>
            </w:r>
          </w:p>
        </w:tc>
        <w:tc>
          <w:tcPr>
            <w:tcW w:type="dxa" w:w="1656"/>
          </w:tcPr>
          <w:p>
            <w:r/>
            <w:r>
              <w:rPr>
                <w:sz w:val="18"/>
              </w:rPr>
              <w:t>39.7 [33.1, 46.7]</w:t>
            </w:r>
          </w:p>
        </w:tc>
        <w:tc>
          <w:tcPr>
            <w:tcW w:type="dxa" w:w="1080"/>
          </w:tcPr>
          <w:p>
            <w:r/>
            <w:r>
              <w:rPr>
                <w:sz w:val="18"/>
              </w:rPr>
              <w:t>50.9</w:t>
            </w:r>
          </w:p>
        </w:tc>
        <w:tc>
          <w:tcPr>
            <w:tcW w:type="dxa" w:w="1656"/>
          </w:tcPr>
          <w:p>
            <w:r/>
            <w:r>
              <w:rPr>
                <w:sz w:val="18"/>
              </w:rPr>
              <w:t>66.6 [45.9, 87.5]</w:t>
            </w:r>
          </w:p>
        </w:tc>
        <w:tc>
          <w:tcPr>
            <w:tcW w:type="dxa" w:w="1008"/>
          </w:tcPr>
          <w:p>
            <w:r/>
            <w:r>
              <w:rPr>
                <w:sz w:val="18"/>
              </w:rPr>
              <w:t>5.0</w:t>
            </w:r>
          </w:p>
        </w:tc>
        <w:tc>
          <w:tcPr>
            <w:tcW w:type="dxa" w:w="1584"/>
          </w:tcPr>
          <w:p>
            <w:r/>
            <w:r>
              <w:rPr>
                <w:sz w:val="18"/>
              </w:rPr>
              <w:t>4.6 [0.0, 9.9]</w:t>
            </w:r>
          </w:p>
        </w:tc>
      </w:tr>
      <w:tr>
        <w:tc>
          <w:tcPr>
            <w:tcW w:type="dxa" w:w="1296"/>
          </w:tcPr>
          <w:p>
            <w:r/>
            <w:r>
              <w:rPr>
                <w:sz w:val="18"/>
              </w:rPr>
              <w:t>qwen3:14b</w:t>
            </w:r>
          </w:p>
        </w:tc>
        <w:tc>
          <w:tcPr>
            <w:tcW w:type="dxa" w:w="1080"/>
          </w:tcPr>
          <w:p>
            <w:r/>
            <w:r>
              <w:rPr>
                <w:sz w:val="18"/>
              </w:rPr>
              <w:t>41.3</w:t>
            </w:r>
          </w:p>
        </w:tc>
        <w:tc>
          <w:tcPr>
            <w:tcW w:type="dxa" w:w="1656"/>
          </w:tcPr>
          <w:p>
            <w:r/>
            <w:r>
              <w:rPr>
                <w:sz w:val="18"/>
              </w:rPr>
              <w:t>40.2 [31.4, 49.6]</w:t>
            </w:r>
          </w:p>
        </w:tc>
        <w:tc>
          <w:tcPr>
            <w:tcW w:type="dxa" w:w="1080"/>
          </w:tcPr>
          <w:p>
            <w:r/>
            <w:r>
              <w:rPr>
                <w:sz w:val="18"/>
              </w:rPr>
              <w:t>90.6</w:t>
            </w:r>
          </w:p>
        </w:tc>
        <w:tc>
          <w:tcPr>
            <w:tcW w:type="dxa" w:w="1656"/>
          </w:tcPr>
          <w:p>
            <w:r/>
            <w:r>
              <w:rPr>
                <w:sz w:val="18"/>
              </w:rPr>
              <w:t>87.1 [74.6, 97.5]</w:t>
            </w:r>
          </w:p>
        </w:tc>
        <w:tc>
          <w:tcPr>
            <w:tcW w:type="dxa" w:w="1008"/>
          </w:tcPr>
          <w:p>
            <w:r/>
            <w:r>
              <w:rPr>
                <w:sz w:val="18"/>
              </w:rPr>
              <w:t>4.1</w:t>
            </w:r>
          </w:p>
        </w:tc>
        <w:tc>
          <w:tcPr>
            <w:tcW w:type="dxa" w:w="1584"/>
          </w:tcPr>
          <w:p>
            <w:r/>
            <w:r>
              <w:rPr>
                <w:sz w:val="18"/>
              </w:rPr>
              <w:t>3.8 [0.0, 9.8]</w:t>
            </w:r>
          </w:p>
        </w:tc>
      </w:tr>
    </w:tbl>
    <w:p>
      <w:pPr>
        <w:spacing w:after="0"/>
      </w:pPr>
    </w:p>
    <w:p>
      <w:pPr>
        <w:keepNext/>
        <w:spacing w:before="120"/>
      </w:pPr>
      <w:r>
        <w:rPr>
          <w:b/>
          <w:sz w:val="19"/>
        </w:rPr>
        <w:t xml:space="preserve">Table 4. </w:t>
      </w:r>
      <w:r>
        <w:rPr>
          <w:sz w:val="19"/>
        </w:rPr>
        <w:t xml:space="preserve">Paired difference qwen3:14b − qwen2.5:7b on the 121-set, percentage points [95% child-cluster CI]. Episode-weighted: </w:t>
      </w:r>
      <w:r>
        <w:rPr>
          <w:rFonts w:ascii="Consolas" w:hAnsi="Consolas"/>
          <w:sz w:val="19"/>
        </w:rPr>
        <w:t>round3_analysis.json</w:t>
      </w:r>
      <w:r>
        <w:rPr>
          <w:sz w:val="19"/>
        </w:rPr>
        <w:t xml:space="preserve"> (holdout_sensitivity.excluding_all_pool_episodes). Equal-child: </w:t>
      </w:r>
      <w:r>
        <w:rPr>
          <w:rFonts w:ascii="Consolas" w:hAnsi="Consolas"/>
          <w:sz w:val="19"/>
        </w:rPr>
        <w:t>round5_analysis.json</w:t>
      </w:r>
      <w:r>
        <w:rPr>
          <w:sz w:val="19"/>
        </w:rPr>
        <w: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592"/>
            <w:shd w:val="clear" w:color="auto" w:fill="E8EEF6"/>
          </w:tcPr>
          <w:p>
            <w:r/>
            <w:r>
              <w:rPr>
                <w:b/>
                <w:sz w:val="18"/>
              </w:rPr>
              <w:t>Metric</w:t>
            </w:r>
          </w:p>
        </w:tc>
        <w:tc>
          <w:tcPr>
            <w:tcW w:type="dxa" w:w="3456"/>
            <w:shd w:val="clear" w:color="auto" w:fill="E8EEF6"/>
          </w:tcPr>
          <w:p>
            <w:r/>
            <w:r>
              <w:rPr>
                <w:b/>
                <w:sz w:val="18"/>
              </w:rPr>
              <w:t>Episode-weighted (primary)</w:t>
            </w:r>
          </w:p>
        </w:tc>
        <w:tc>
          <w:tcPr>
            <w:tcW w:type="dxa" w:w="3600"/>
            <w:shd w:val="clear" w:color="auto" w:fill="E8EEF6"/>
          </w:tcPr>
          <w:p>
            <w:r/>
            <w:r>
              <w:rPr>
                <w:b/>
                <w:sz w:val="18"/>
              </w:rPr>
              <w:t>Equal-child-weighted (sensitivity)</w:t>
            </w:r>
          </w:p>
        </w:tc>
      </w:tr>
      <w:tr>
        <w:tc>
          <w:tcPr>
            <w:tcW w:type="dxa" w:w="2592"/>
          </w:tcPr>
          <w:p>
            <w:r/>
            <w:r>
              <w:rPr>
                <w:sz w:val="18"/>
              </w:rPr>
              <w:t>Merged agreement</w:t>
            </w:r>
          </w:p>
        </w:tc>
        <w:tc>
          <w:tcPr>
            <w:tcW w:type="dxa" w:w="3456"/>
          </w:tcPr>
          <w:p>
            <w:r/>
            <w:r>
              <w:rPr>
                <w:sz w:val="18"/>
              </w:rPr>
              <w:t>+0.8 [-2.6, +3.9]</w:t>
            </w:r>
          </w:p>
        </w:tc>
        <w:tc>
          <w:tcPr>
            <w:tcW w:type="dxa" w:w="3600"/>
          </w:tcPr>
          <w:p>
            <w:r/>
            <w:r>
              <w:rPr>
                <w:sz w:val="18"/>
              </w:rPr>
              <w:t>+0.5 [-2.8, +3.7]</w:t>
            </w:r>
          </w:p>
        </w:tc>
      </w:tr>
      <w:tr>
        <w:tc>
          <w:tcPr>
            <w:tcW w:type="dxa" w:w="2592"/>
          </w:tcPr>
          <w:p>
            <w:r/>
            <w:r>
              <w:rPr>
                <w:sz w:val="18"/>
              </w:rPr>
              <w:t>Unsupported assertion</w:t>
            </w:r>
          </w:p>
        </w:tc>
        <w:tc>
          <w:tcPr>
            <w:tcW w:type="dxa" w:w="3456"/>
          </w:tcPr>
          <w:p>
            <w:r/>
            <w:r>
              <w:rPr>
                <w:sz w:val="18"/>
              </w:rPr>
              <w:t>+39.6 [+14.8, +53.7] *</w:t>
            </w:r>
          </w:p>
        </w:tc>
        <w:tc>
          <w:tcPr>
            <w:tcW w:type="dxa" w:w="3600"/>
          </w:tcPr>
          <w:p>
            <w:r/>
            <w:r>
              <w:rPr>
                <w:sz w:val="18"/>
              </w:rPr>
              <w:t>+20.6 [-7.6, +45.9]</w:t>
            </w:r>
          </w:p>
        </w:tc>
      </w:tr>
      <w:tr>
        <w:tc>
          <w:tcPr>
            <w:tcW w:type="dxa" w:w="2592"/>
          </w:tcPr>
          <w:p>
            <w:r/>
            <w:r>
              <w:rPr>
                <w:sz w:val="18"/>
              </w:rPr>
              <w:t>Whole-record agreement</w:t>
            </w:r>
          </w:p>
        </w:tc>
        <w:tc>
          <w:tcPr>
            <w:tcW w:type="dxa" w:w="3456"/>
          </w:tcPr>
          <w:p>
            <w:r/>
            <w:r>
              <w:rPr>
                <w:sz w:val="18"/>
              </w:rPr>
              <w:t>-0.8 [-3.5, +1.7]</w:t>
            </w:r>
          </w:p>
        </w:tc>
        <w:tc>
          <w:tcPr>
            <w:tcW w:type="dxa" w:w="3600"/>
          </w:tcPr>
          <w:p>
            <w:r/>
            <w:r>
              <w:rPr>
                <w:sz w:val="18"/>
              </w:rPr>
              <w:t>-0.8 [-3.3, +1.5]</w:t>
            </w:r>
          </w:p>
        </w:tc>
      </w:tr>
    </w:tbl>
    <w:p>
      <w:pPr>
        <w:spacing w:after="0"/>
      </w:pPr>
    </w:p>
    <w:p>
      <w:r>
        <w:rPr/>
        <w:t>* interval excludes zero.</w:t>
      </w:r>
    </w:p>
    <w:p>
      <w:pPr>
        <w:jc w:val="center"/>
      </w:pPr>
      <w:r>
        <w:drawing>
          <wp:inline xmlns:a="http://schemas.openxmlformats.org/drawingml/2006/main" xmlns:pic="http://schemas.openxmlformats.org/drawingml/2006/picture">
            <wp:extent cx="6126480" cy="2041366"/>
            <wp:docPr id="1" name="Picture 1"/>
            <wp:cNvGraphicFramePr>
              <a:graphicFrameLocks noChangeAspect="1"/>
            </wp:cNvGraphicFramePr>
            <a:graphic>
              <a:graphicData uri="http://schemas.openxmlformats.org/drawingml/2006/picture">
                <pic:pic>
                  <pic:nvPicPr>
                    <pic:cNvPr id="0" name="r5_fig1_child_weighting.png"/>
                    <pic:cNvPicPr/>
                  </pic:nvPicPr>
                  <pic:blipFill>
                    <a:blip r:embed="rId9"/>
                    <a:stretch>
                      <a:fillRect/>
                    </a:stretch>
                  </pic:blipFill>
                  <pic:spPr>
                    <a:xfrm>
                      <a:off x="0" y="0"/>
                      <a:ext cx="6126480" cy="2041366"/>
                    </a:xfrm>
                    <a:prstGeom prst="rect"/>
                  </pic:spPr>
                </pic:pic>
              </a:graphicData>
            </a:graphic>
          </wp:inline>
        </w:drawing>
      </w:r>
    </w:p>
    <w:p>
      <w:r>
        <w:rPr>
          <w:b/>
          <w:sz w:val="19"/>
        </w:rPr>
        <w:t xml:space="preserve">Figure 1. </w:t>
      </w:r>
      <w:r>
        <w:rPr>
          <w:sz w:val="19"/>
        </w:rPr>
        <w:t>A: retained versus removed evaluation episodes per child. B, C: episode-weighted (filled, solid) and equal-child-weighted (open, dashed) estimates with 95% child-cluster intervals on the 121-set.</w:t>
      </w:r>
    </w:p>
    <w:p>
      <w:pPr>
        <w:spacing w:before="160" w:after="40"/>
      </w:pPr>
      <w:r>
        <w:rPr>
          <w:b/>
          <w:color w:val="1F2933"/>
          <w:sz w:val="21"/>
        </w:rPr>
        <w:t>Supporting argument</w:t>
      </w:r>
    </w:p>
    <w:p>
      <w:pPr>
        <w:pStyle w:val="ListBullet"/>
      </w:pPr>
      <w:r>
        <w:rPr>
          <w:b/>
        </w:rPr>
        <w:t>Where the weight moves.</w:t>
      </w:r>
      <w:r>
        <w:rPr/>
        <w:t xml:space="preserve"> Under episode weighting roger_rollins contributes 5.0% of the estimate; under equal-child weighting every child contributes 9.1%. Children who kept all 12 episodes drop from 9.9% to 9.1%.</w:t>
      </w:r>
    </w:p>
    <w:p>
      <w:pPr>
        <w:pStyle w:val="ListBullet"/>
      </w:pPr>
      <w:r>
        <w:rPr>
          <w:b/>
        </w:rPr>
        <w:t>Agreement metrics.</w:t>
      </w:r>
      <w:r>
        <w:rPr/>
        <w:t xml:space="preserve"> Merged and whole-record agreement change by about a point or less for every model, and the qwen3:14b − qwen2.5:7b merged-agreement difference stays small with an interval including zero under both weightings.</w:t>
      </w:r>
    </w:p>
    <w:p>
      <w:pPr>
        <w:pStyle w:val="ListBullet"/>
      </w:pPr>
      <w:r>
        <w:rPr>
          <w:b/>
        </w:rPr>
        <w:t>Unsupported assertion.</w:t>
      </w:r>
      <w:r>
        <w:rPr/>
        <w:t xml:space="preserve"> Its denominator is reference-null slots, not episodes, so the recorded value is weighted by reference-null slot. On the 121-set those slots are few and uneven by child (rick, stuart: none, so the rate is undefined and the child is left out; others 1–10). Equal-child weighting gives a child with one slot the same weight as a child with ten, which is why qwen2.5:7b moves from 50.9% to 66.6% and the paired difference loses its interval. The main-batch paired difference (330 segments) is not affected by this comment.</w:t>
      </w:r>
    </w:p>
    <w:p>
      <w:pPr>
        <w:pStyle w:val="ListBullet"/>
      </w:pPr>
      <w:r>
        <w:rPr>
          <w:b/>
        </w:rPr>
        <w:t>Why episode weighting stays primary.</w:t>
      </w:r>
      <w:r>
        <w:rPr/>
        <w:t xml:space="preserve"> It is the estimand used for the main batch (330) and the original 132 in every earlier round, so the 121 remains directly comparable with them. No other rationale for the choice is documented; the authors may add one.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 2.13 Methods; Section 3.3 Results; Section 4.9)</w:t>
            </w:r>
          </w:p>
          <w:p>
            <w:r>
              <w:rPr>
                <w:b/>
              </w:rPr>
              <w:t>Methods 2.13:</w:t>
            </w:r>
            <w:r>
              <w:rPr/>
              <w:t xml:space="preserve"> "After overlap exclusion, 121 of the 132 frozen evaluation episodes remained, with 6 to 12 episodes per child (Table X). The primary post-audit estimand is episode-weighted: metrics are pooled over retained episodes (for unsupported assertion, over reference-null field slots), as for the main batch and the original 132-episode set. As a sensitivity analysis we computed each metric within child and averaged children with equal weight, with 95% child-cluster bootstrap intervals; unsupported assertion is undefined for children with no reference-null slots, and such children were omitted from that average."</w:t>
            </w:r>
          </w:p>
          <w:p>
            <w:r>
              <w:rPr>
                <w:b/>
              </w:rPr>
              <w:t>Results 3.3:</w:t>
            </w:r>
            <w:r>
              <w:rPr/>
              <w:t xml:space="preserve"> "Equal-child weighting changed merged and whole-record agreement by at most 1.1 percentage points for any model (Table Y). For unsupported assertion, which was defined for 9 children on 1–10 reference-null slots each, the qwen3:14b − qwen2.5:7b difference was +39.6 [+14.8, +53.7] percentage points under episode weighting and +20.6 [-7.6, +45.9] under equal-child weighting."</w:t>
            </w:r>
          </w:p>
          <w:p>
            <w:r>
              <w:rPr>
                <w:b/>
              </w:rPr>
              <w:t>Limitations 4.9:</w:t>
            </w:r>
            <w:r>
              <w:rPr/>
              <w:t xml:space="preserve"> "On the post-audit 121-episode set, the unsupported-assertion comparison between the two strongest generators was sensitive to how children were weighted, reflecting few reference-null opportunities per child."</w:t>
            </w:r>
          </w:p>
        </w:tc>
      </w:tr>
    </w:tbl>
    <w:p/>
    <w:p>
      <w:r>
        <w:br w:type="page"/>
      </w:r>
    </w:p>
    <w:p>
      <w:pPr>
        <w:pStyle w:val="Heading1"/>
      </w:pPr>
      <w:r>
        <w:t>R5-2  ·  Moderate  ·  Reference-null difference appears first in Limitations</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4.9, with corresponding Methods/Results sections if retained</w:t>
      </w:r>
    </w:p>
    <w:p>
      <w:pPr>
        <w:spacing w:after="60"/>
        <w:ind w:left="240"/>
      </w:pPr>
      <w:r>
        <w:rPr>
          <w:b/>
          <w:color w:val="2A4E7A"/>
        </w:rPr>
        <w:t xml:space="preserve">Reviewer concern: </w:t>
      </w:r>
      <w:r>
        <w:rPr>
          <w:color w:val="2A4E7A"/>
        </w:rPr>
        <w:t>The Limitations section states that capped and shorter episodes differed descriptively in reference-null frequencies. That is a new empirical finding with direct relevance to unsupported-assertion evaluation, because null prevalence changes the number of opportunities on which unsupported assertion can occur. However, the manuscript does not report the actual values, comparison definition, or analysis earlier in Methods or Results.</w:t>
      </w:r>
    </w:p>
    <w:p>
      <w:pPr>
        <w:spacing w:after="60"/>
        <w:ind w:left="240"/>
      </w:pPr>
      <w:r>
        <w:rPr>
          <w:b/>
          <w:color w:val="2A4E7A"/>
        </w:rPr>
        <w:t xml:space="preserve">Required action: </w:t>
      </w:r>
      <w:r>
        <w:rPr>
          <w:color w:val="2A4E7A"/>
        </w:rPr>
        <w:t>Either report this descriptive analysis properly in Methods/Results (define capped versus shorter episodes and provide the relevant null-frequency values, preferably by categorical field or with a clearly stated pooled definition), or remove the empirical statement from Limitations. A reviewer should not encounter a new quantitative result for the first time in the limitations narrative.</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The analysis is now reported in Methods and Results, by field, with the comparison defined; Limitations only refers back to it.</w:t>
      </w:r>
      <w:r>
        <w:rPr/>
        <w:t xml:space="preserve"> It was computed in Round 4 (</w:t>
      </w:r>
      <w:r>
        <w:rPr>
          <w:rFonts w:ascii="Consolas" w:hAnsi="Consolas"/>
          <w:sz w:val="18"/>
        </w:rPr>
        <w:t>round4_analysis.json</w:t>
      </w:r>
      <w:r>
        <w:rPr/>
        <w:t>, episode_cap.annotated_by_cap) but never reported outside the Limitations sentence. Capped episodes carry fewer reference nulls in both annotated sets (field mean 13.9% vs 16.3% in the main batch; 10.1% vs 14.5% in the frozen 132). Domain and prompt level are never null in capped episodes. The comparison is descriptive, with no inferential test.</w:t>
      </w:r>
    </w:p>
    <w:p>
      <w:r>
        <w:rPr>
          <w:b/>
        </w:rPr>
        <w:t>Definition.</w:t>
      </w:r>
      <w:r>
        <w:rPr/>
        <w:t xml:space="preserve"> Capped = rendered CHAT text has exactly 8 speaker turns (the segmentation maximum); shorter = fewer than 8. Turns are counted as speaker lines (lines beginning </w:t>
      </w:r>
      <w:r>
        <w:rPr>
          <w:rFonts w:ascii="Consolas" w:hAnsi="Consolas"/>
          <w:sz w:val="18"/>
        </w:rPr>
        <w:t>*</w:t>
      </w:r>
      <w:r>
        <w:rPr/>
        <w:t>) in the rendered episode text. A reference null is a field the adjudicated reference standard leaves empty; each is one opportunity for an unsupported assertion.</w:t>
      </w:r>
    </w:p>
    <w:p>
      <w:pPr>
        <w:keepNext/>
        <w:spacing w:before="120"/>
      </w:pPr>
      <w:r>
        <w:rPr>
          <w:b/>
          <w:sz w:val="19"/>
        </w:rPr>
        <w:t xml:space="preserve">Table 5. </w:t>
      </w:r>
      <w:r>
        <w:rPr>
          <w:sz w:val="19"/>
        </w:rPr>
        <w:t xml:space="preserve">Reference-null share by field (count of null slots), pooled mean of the four fields, total null slots over all field slots, and qwen2.5:7b unsupported-assertion rate, for capped and shorter episodes. Descriptive; not adjusted for other differences between the groups. Source: </w:t>
      </w:r>
      <w:r>
        <w:rPr>
          <w:rFonts w:ascii="Consolas" w:hAnsi="Consolas"/>
          <w:sz w:val="19"/>
        </w:rPr>
        <w:t>round5_analysis.json</w:t>
      </w:r>
      <w:r>
        <w:rPr>
          <w:sz w:val="19"/>
        </w:rPr>
        <w:t xml:space="preserve"> (reference_nulls_by_cap), from </w:t>
      </w:r>
      <w:r>
        <w:rPr>
          <w:rFonts w:ascii="Consolas" w:hAnsi="Consolas"/>
          <w:sz w:val="19"/>
        </w:rPr>
        <w:t>round4_analysis.json</w:t>
      </w:r>
      <w:r>
        <w:rPr>
          <w:sz w:val="19"/>
        </w:rPr>
        <w:t>.</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val="true"/>
        </w:trPr>
        <w:tc>
          <w:tcPr>
            <w:tcW w:type="dxa" w:w="1224"/>
            <w:shd w:val="clear" w:color="auto" w:fill="E8EEF6"/>
          </w:tcPr>
          <w:p>
            <w:r/>
            <w:r>
              <w:rPr>
                <w:b/>
                <w:sz w:val="18"/>
              </w:rPr>
              <w:t>Set</w:t>
            </w:r>
          </w:p>
        </w:tc>
        <w:tc>
          <w:tcPr>
            <w:tcW w:type="dxa" w:w="1080"/>
            <w:shd w:val="clear" w:color="auto" w:fill="E8EEF6"/>
          </w:tcPr>
          <w:p>
            <w:r/>
            <w:r>
              <w:rPr>
                <w:b/>
                <w:sz w:val="18"/>
              </w:rPr>
              <w:t>Episodes</w:t>
            </w:r>
          </w:p>
        </w:tc>
        <w:tc>
          <w:tcPr>
            <w:tcW w:type="dxa" w:w="504"/>
            <w:shd w:val="clear" w:color="auto" w:fill="E8EEF6"/>
          </w:tcPr>
          <w:p>
            <w:r/>
            <w:r>
              <w:rPr>
                <w:b/>
                <w:sz w:val="18"/>
              </w:rPr>
              <w:t>n</w:t>
            </w:r>
          </w:p>
        </w:tc>
        <w:tc>
          <w:tcPr>
            <w:tcW w:type="dxa" w:w="864"/>
            <w:shd w:val="clear" w:color="auto" w:fill="E8EEF6"/>
          </w:tcPr>
          <w:p>
            <w:r/>
            <w:r>
              <w:rPr>
                <w:b/>
                <w:sz w:val="18"/>
              </w:rPr>
              <w:t>domain</w:t>
            </w:r>
          </w:p>
        </w:tc>
        <w:tc>
          <w:tcPr>
            <w:tcW w:type="dxa" w:w="1008"/>
            <w:shd w:val="clear" w:color="auto" w:fill="E8EEF6"/>
          </w:tcPr>
          <w:p>
            <w:r/>
            <w:r>
              <w:rPr>
                <w:b/>
                <w:sz w:val="18"/>
              </w:rPr>
              <w:t>modality</w:t>
            </w:r>
          </w:p>
        </w:tc>
        <w:tc>
          <w:tcPr>
            <w:tcW w:type="dxa" w:w="936"/>
            <w:shd w:val="clear" w:color="auto" w:fill="E8EEF6"/>
          </w:tcPr>
          <w:p>
            <w:r/>
            <w:r>
              <w:rPr>
                <w:b/>
                <w:sz w:val="18"/>
              </w:rPr>
              <w:t>prompt level</w:t>
            </w:r>
          </w:p>
        </w:tc>
        <w:tc>
          <w:tcPr>
            <w:tcW w:type="dxa" w:w="1008"/>
            <w:shd w:val="clear" w:color="auto" w:fill="E8EEF6"/>
          </w:tcPr>
          <w:p>
            <w:r/>
            <w:r>
              <w:rPr>
                <w:b/>
                <w:sz w:val="18"/>
              </w:rPr>
              <w:t>outcome</w:t>
            </w:r>
          </w:p>
        </w:tc>
        <w:tc>
          <w:tcPr>
            <w:tcW w:type="dxa" w:w="720"/>
            <w:shd w:val="clear" w:color="auto" w:fill="E8EEF6"/>
          </w:tcPr>
          <w:p>
            <w:r/>
            <w:r>
              <w:rPr>
                <w:b/>
                <w:sz w:val="18"/>
              </w:rPr>
              <w:t>Mean</w:t>
            </w:r>
          </w:p>
        </w:tc>
        <w:tc>
          <w:tcPr>
            <w:tcW w:type="dxa" w:w="1008"/>
            <w:shd w:val="clear" w:color="auto" w:fill="E8EEF6"/>
          </w:tcPr>
          <w:p>
            <w:r/>
            <w:r>
              <w:rPr>
                <w:b/>
                <w:sz w:val="18"/>
              </w:rPr>
              <w:t>Null slots</w:t>
            </w:r>
          </w:p>
        </w:tc>
        <w:tc>
          <w:tcPr>
            <w:tcW w:type="dxa" w:w="1080"/>
            <w:shd w:val="clear" w:color="auto" w:fill="E8EEF6"/>
          </w:tcPr>
          <w:p>
            <w:r/>
            <w:r>
              <w:rPr>
                <w:b/>
                <w:sz w:val="18"/>
              </w:rPr>
              <w:t>qwen2.5:7b unsupp.</w:t>
            </w:r>
          </w:p>
        </w:tc>
      </w:tr>
      <w:tr>
        <w:tc>
          <w:tcPr>
            <w:tcW w:type="dxa" w:w="1224"/>
          </w:tcPr>
          <w:p>
            <w:r/>
            <w:r>
              <w:rPr>
                <w:sz w:val="18"/>
              </w:rPr>
              <w:t>Main batch (330)</w:t>
            </w:r>
          </w:p>
        </w:tc>
        <w:tc>
          <w:tcPr>
            <w:tcW w:type="dxa" w:w="1080"/>
          </w:tcPr>
          <w:p>
            <w:r/>
            <w:r>
              <w:rPr>
                <w:sz w:val="18"/>
              </w:rPr>
              <w:t>capped (8)</w:t>
            </w:r>
          </w:p>
        </w:tc>
        <w:tc>
          <w:tcPr>
            <w:tcW w:type="dxa" w:w="504"/>
          </w:tcPr>
          <w:p>
            <w:r/>
            <w:r>
              <w:rPr>
                <w:sz w:val="18"/>
              </w:rPr>
              <w:t>187</w:t>
            </w:r>
          </w:p>
        </w:tc>
        <w:tc>
          <w:tcPr>
            <w:tcW w:type="dxa" w:w="864"/>
          </w:tcPr>
          <w:p>
            <w:r/>
            <w:r>
              <w:rPr>
                <w:sz w:val="18"/>
              </w:rPr>
              <w:t>0.0% (0)</w:t>
            </w:r>
          </w:p>
        </w:tc>
        <w:tc>
          <w:tcPr>
            <w:tcW w:type="dxa" w:w="1008"/>
          </w:tcPr>
          <w:p>
            <w:r/>
            <w:r>
              <w:rPr>
                <w:sz w:val="18"/>
              </w:rPr>
              <w:t>23.0% (43)</w:t>
            </w:r>
          </w:p>
        </w:tc>
        <w:tc>
          <w:tcPr>
            <w:tcW w:type="dxa" w:w="936"/>
          </w:tcPr>
          <w:p>
            <w:r/>
            <w:r>
              <w:rPr>
                <w:sz w:val="18"/>
              </w:rPr>
              <w:t>0.0% (0)</w:t>
            </w:r>
          </w:p>
        </w:tc>
        <w:tc>
          <w:tcPr>
            <w:tcW w:type="dxa" w:w="1008"/>
          </w:tcPr>
          <w:p>
            <w:r/>
            <w:r>
              <w:rPr>
                <w:sz w:val="18"/>
              </w:rPr>
              <w:t>32.6% (61)</w:t>
            </w:r>
          </w:p>
        </w:tc>
        <w:tc>
          <w:tcPr>
            <w:tcW w:type="dxa" w:w="720"/>
          </w:tcPr>
          <w:p>
            <w:r/>
            <w:r>
              <w:rPr>
                <w:sz w:val="18"/>
              </w:rPr>
              <w:t>13.9%</w:t>
            </w:r>
          </w:p>
        </w:tc>
        <w:tc>
          <w:tcPr>
            <w:tcW w:type="dxa" w:w="1008"/>
          </w:tcPr>
          <w:p>
            <w:r/>
            <w:r>
              <w:rPr>
                <w:sz w:val="18"/>
              </w:rPr>
              <w:t>104 / 748</w:t>
            </w:r>
          </w:p>
        </w:tc>
        <w:tc>
          <w:tcPr>
            <w:tcW w:type="dxa" w:w="1080"/>
          </w:tcPr>
          <w:p>
            <w:r/>
            <w:r>
              <w:rPr>
                <w:sz w:val="18"/>
              </w:rPr>
              <w:t>64.4%</w:t>
            </w:r>
          </w:p>
        </w:tc>
      </w:tr>
      <w:tr>
        <w:tc>
          <w:tcPr>
            <w:tcW w:type="dxa" w:w="1224"/>
          </w:tcPr>
          <w:p>
            <w:r/>
            <w:r>
              <w:rPr>
                <w:sz w:val="18"/>
              </w:rPr>
              <w:t>Main batch (330)</w:t>
            </w:r>
          </w:p>
        </w:tc>
        <w:tc>
          <w:tcPr>
            <w:tcW w:type="dxa" w:w="1080"/>
          </w:tcPr>
          <w:p>
            <w:r/>
            <w:r>
              <w:rPr>
                <w:sz w:val="18"/>
              </w:rPr>
              <w:t>shorter (&lt; 8)</w:t>
            </w:r>
          </w:p>
        </w:tc>
        <w:tc>
          <w:tcPr>
            <w:tcW w:type="dxa" w:w="504"/>
          </w:tcPr>
          <w:p>
            <w:r/>
            <w:r>
              <w:rPr>
                <w:sz w:val="18"/>
              </w:rPr>
              <w:t>143</w:t>
            </w:r>
          </w:p>
        </w:tc>
        <w:tc>
          <w:tcPr>
            <w:tcW w:type="dxa" w:w="864"/>
          </w:tcPr>
          <w:p>
            <w:r/>
            <w:r>
              <w:rPr>
                <w:sz w:val="18"/>
              </w:rPr>
              <w:t>2.1% (3)</w:t>
            </w:r>
          </w:p>
        </w:tc>
        <w:tc>
          <w:tcPr>
            <w:tcW w:type="dxa" w:w="1008"/>
          </w:tcPr>
          <w:p>
            <w:r/>
            <w:r>
              <w:rPr>
                <w:sz w:val="18"/>
              </w:rPr>
              <w:t>23.8% (34)</w:t>
            </w:r>
          </w:p>
        </w:tc>
        <w:tc>
          <w:tcPr>
            <w:tcW w:type="dxa" w:w="936"/>
          </w:tcPr>
          <w:p>
            <w:r/>
            <w:r>
              <w:rPr>
                <w:sz w:val="18"/>
              </w:rPr>
              <w:t>1.4% (2)</w:t>
            </w:r>
          </w:p>
        </w:tc>
        <w:tc>
          <w:tcPr>
            <w:tcW w:type="dxa" w:w="1008"/>
          </w:tcPr>
          <w:p>
            <w:r/>
            <w:r>
              <w:rPr>
                <w:sz w:val="18"/>
              </w:rPr>
              <w:t>37.8% (54)</w:t>
            </w:r>
          </w:p>
        </w:tc>
        <w:tc>
          <w:tcPr>
            <w:tcW w:type="dxa" w:w="720"/>
          </w:tcPr>
          <w:p>
            <w:r/>
            <w:r>
              <w:rPr>
                <w:sz w:val="18"/>
              </w:rPr>
              <w:t>16.3%</w:t>
            </w:r>
          </w:p>
        </w:tc>
        <w:tc>
          <w:tcPr>
            <w:tcW w:type="dxa" w:w="1008"/>
          </w:tcPr>
          <w:p>
            <w:r/>
            <w:r>
              <w:rPr>
                <w:sz w:val="18"/>
              </w:rPr>
              <w:t>93 / 572</w:t>
            </w:r>
          </w:p>
        </w:tc>
        <w:tc>
          <w:tcPr>
            <w:tcW w:type="dxa" w:w="1080"/>
          </w:tcPr>
          <w:p>
            <w:r/>
            <w:r>
              <w:rPr>
                <w:sz w:val="18"/>
              </w:rPr>
              <w:t>48.4%</w:t>
            </w:r>
          </w:p>
        </w:tc>
      </w:tr>
      <w:tr>
        <w:tc>
          <w:tcPr>
            <w:tcW w:type="dxa" w:w="1224"/>
          </w:tcPr>
          <w:p>
            <w:r/>
            <w:r>
              <w:rPr>
                <w:sz w:val="18"/>
              </w:rPr>
              <w:t>Frozen 132</w:t>
            </w:r>
          </w:p>
        </w:tc>
        <w:tc>
          <w:tcPr>
            <w:tcW w:type="dxa" w:w="1080"/>
          </w:tcPr>
          <w:p>
            <w:r/>
            <w:r>
              <w:rPr>
                <w:sz w:val="18"/>
              </w:rPr>
              <w:t>capped (8)</w:t>
            </w:r>
          </w:p>
        </w:tc>
        <w:tc>
          <w:tcPr>
            <w:tcW w:type="dxa" w:w="504"/>
          </w:tcPr>
          <w:p>
            <w:r/>
            <w:r>
              <w:rPr>
                <w:sz w:val="18"/>
              </w:rPr>
              <w:t>77</w:t>
            </w:r>
          </w:p>
        </w:tc>
        <w:tc>
          <w:tcPr>
            <w:tcW w:type="dxa" w:w="864"/>
          </w:tcPr>
          <w:p>
            <w:r/>
            <w:r>
              <w:rPr>
                <w:sz w:val="18"/>
              </w:rPr>
              <w:t>0.0% (0)</w:t>
            </w:r>
          </w:p>
        </w:tc>
        <w:tc>
          <w:tcPr>
            <w:tcW w:type="dxa" w:w="1008"/>
          </w:tcPr>
          <w:p>
            <w:r/>
            <w:r>
              <w:rPr>
                <w:sz w:val="18"/>
              </w:rPr>
              <w:t>26.0% (20)</w:t>
            </w:r>
          </w:p>
        </w:tc>
        <w:tc>
          <w:tcPr>
            <w:tcW w:type="dxa" w:w="936"/>
          </w:tcPr>
          <w:p>
            <w:r/>
            <w:r>
              <w:rPr>
                <w:sz w:val="18"/>
              </w:rPr>
              <w:t>0.0% (0)</w:t>
            </w:r>
          </w:p>
        </w:tc>
        <w:tc>
          <w:tcPr>
            <w:tcW w:type="dxa" w:w="1008"/>
          </w:tcPr>
          <w:p>
            <w:r/>
            <w:r>
              <w:rPr>
                <w:sz w:val="18"/>
              </w:rPr>
              <w:t>14.3% (11)</w:t>
            </w:r>
          </w:p>
        </w:tc>
        <w:tc>
          <w:tcPr>
            <w:tcW w:type="dxa" w:w="720"/>
          </w:tcPr>
          <w:p>
            <w:r/>
            <w:r>
              <w:rPr>
                <w:sz w:val="18"/>
              </w:rPr>
              <w:t>10.1%</w:t>
            </w:r>
          </w:p>
        </w:tc>
        <w:tc>
          <w:tcPr>
            <w:tcW w:type="dxa" w:w="1008"/>
          </w:tcPr>
          <w:p>
            <w:r/>
            <w:r>
              <w:rPr>
                <w:sz w:val="18"/>
              </w:rPr>
              <w:t>31 / 308</w:t>
            </w:r>
          </w:p>
        </w:tc>
        <w:tc>
          <w:tcPr>
            <w:tcW w:type="dxa" w:w="1080"/>
          </w:tcPr>
          <w:p>
            <w:r/>
            <w:r>
              <w:rPr>
                <w:sz w:val="18"/>
              </w:rPr>
              <w:t>61.3%</w:t>
            </w:r>
          </w:p>
        </w:tc>
      </w:tr>
      <w:tr>
        <w:tc>
          <w:tcPr>
            <w:tcW w:type="dxa" w:w="1224"/>
          </w:tcPr>
          <w:p>
            <w:r/>
            <w:r>
              <w:rPr>
                <w:sz w:val="18"/>
              </w:rPr>
              <w:t>Frozen 132</w:t>
            </w:r>
          </w:p>
        </w:tc>
        <w:tc>
          <w:tcPr>
            <w:tcW w:type="dxa" w:w="1080"/>
          </w:tcPr>
          <w:p>
            <w:r/>
            <w:r>
              <w:rPr>
                <w:sz w:val="18"/>
              </w:rPr>
              <w:t>shorter (&lt; 8)</w:t>
            </w:r>
          </w:p>
        </w:tc>
        <w:tc>
          <w:tcPr>
            <w:tcW w:type="dxa" w:w="504"/>
          </w:tcPr>
          <w:p>
            <w:r/>
            <w:r>
              <w:rPr>
                <w:sz w:val="18"/>
              </w:rPr>
              <w:t>55</w:t>
            </w:r>
          </w:p>
        </w:tc>
        <w:tc>
          <w:tcPr>
            <w:tcW w:type="dxa" w:w="864"/>
          </w:tcPr>
          <w:p>
            <w:r/>
            <w:r>
              <w:rPr>
                <w:sz w:val="18"/>
              </w:rPr>
              <w:t>1.8% (1)</w:t>
            </w:r>
          </w:p>
        </w:tc>
        <w:tc>
          <w:tcPr>
            <w:tcW w:type="dxa" w:w="1008"/>
          </w:tcPr>
          <w:p>
            <w:r/>
            <w:r>
              <w:rPr>
                <w:sz w:val="18"/>
              </w:rPr>
              <w:t>29.1% (16)</w:t>
            </w:r>
          </w:p>
        </w:tc>
        <w:tc>
          <w:tcPr>
            <w:tcW w:type="dxa" w:w="936"/>
          </w:tcPr>
          <w:p>
            <w:r/>
            <w:r>
              <w:rPr>
                <w:sz w:val="18"/>
              </w:rPr>
              <w:t>1.8% (1)</w:t>
            </w:r>
          </w:p>
        </w:tc>
        <w:tc>
          <w:tcPr>
            <w:tcW w:type="dxa" w:w="1008"/>
          </w:tcPr>
          <w:p>
            <w:r/>
            <w:r>
              <w:rPr>
                <w:sz w:val="18"/>
              </w:rPr>
              <w:t>25.4% (14)</w:t>
            </w:r>
          </w:p>
        </w:tc>
        <w:tc>
          <w:tcPr>
            <w:tcW w:type="dxa" w:w="720"/>
          </w:tcPr>
          <w:p>
            <w:r/>
            <w:r>
              <w:rPr>
                <w:sz w:val="18"/>
              </w:rPr>
              <w:t>14.5%</w:t>
            </w:r>
          </w:p>
        </w:tc>
        <w:tc>
          <w:tcPr>
            <w:tcW w:type="dxa" w:w="1008"/>
          </w:tcPr>
          <w:p>
            <w:r/>
            <w:r>
              <w:rPr>
                <w:sz w:val="18"/>
              </w:rPr>
              <w:t>32 / 220</w:t>
            </w:r>
          </w:p>
        </w:tc>
        <w:tc>
          <w:tcPr>
            <w:tcW w:type="dxa" w:w="1080"/>
          </w:tcPr>
          <w:p>
            <w:r/>
            <w:r>
              <w:rPr>
                <w:sz w:val="18"/>
              </w:rPr>
              <w:t>40.6%</w:t>
            </w:r>
          </w:p>
        </w:tc>
      </w:tr>
    </w:tbl>
    <w:p>
      <w:pPr>
        <w:spacing w:after="0"/>
      </w:pPr>
    </w:p>
    <w:p>
      <w:pPr>
        <w:jc w:val="center"/>
      </w:pPr>
      <w:r>
        <w:drawing>
          <wp:inline xmlns:a="http://schemas.openxmlformats.org/drawingml/2006/main" xmlns:pic="http://schemas.openxmlformats.org/drawingml/2006/picture">
            <wp:extent cx="6126480" cy="2029063"/>
            <wp:docPr id="2" name="Picture 2"/>
            <wp:cNvGraphicFramePr>
              <a:graphicFrameLocks noChangeAspect="1"/>
            </wp:cNvGraphicFramePr>
            <a:graphic>
              <a:graphicData uri="http://schemas.openxmlformats.org/drawingml/2006/picture">
                <pic:pic>
                  <pic:nvPicPr>
                    <pic:cNvPr id="0" name="r5_fig2_reference_nulls.png"/>
                    <pic:cNvPicPr/>
                  </pic:nvPicPr>
                  <pic:blipFill>
                    <a:blip r:embed="rId10"/>
                    <a:stretch>
                      <a:fillRect/>
                    </a:stretch>
                  </pic:blipFill>
                  <pic:spPr>
                    <a:xfrm>
                      <a:off x="0" y="0"/>
                      <a:ext cx="6126480" cy="2029063"/>
                    </a:xfrm>
                    <a:prstGeom prst="rect"/>
                  </pic:spPr>
                </pic:pic>
              </a:graphicData>
            </a:graphic>
          </wp:inline>
        </w:drawing>
      </w:r>
    </w:p>
    <w:p>
      <w:r>
        <w:rPr>
          <w:b/>
          <w:sz w:val="19"/>
        </w:rPr>
        <w:t xml:space="preserve">Figure 2. </w:t>
      </w:r>
      <w:r>
        <w:rPr>
          <w:sz w:val="19"/>
        </w:rPr>
        <w:t>Share of episodes whose reference value is null, by field, for capped (8-turn) and shorter episodes, in the main batch and the frozen 132.</w:t>
      </w:r>
    </w:p>
    <w:p>
      <w:pPr>
        <w:spacing w:before="160" w:after="40"/>
      </w:pPr>
      <w:r>
        <w:rPr>
          <w:b/>
          <w:color w:val="1F2933"/>
          <w:sz w:val="21"/>
        </w:rPr>
        <w:t>Supporting argument</w:t>
      </w:r>
    </w:p>
    <w:p>
      <w:pPr>
        <w:pStyle w:val="ListBullet"/>
      </w:pPr>
      <w:r>
        <w:rPr>
          <w:b/>
        </w:rPr>
        <w:t>Why it matters for unsupported assertion.</w:t>
      </w:r>
      <w:r>
        <w:rPr/>
        <w:t xml:space="preserve"> The unsupported-assertion rate is computed over reference-null slots, so a group with fewer nulls offers fewer opportunities. The null-slot totals are similar in size between groups (104 vs 93 in the main batch; 31 vs 32 in the frozen 132), but they sit almost entirely in modality and outcome.</w:t>
      </w:r>
    </w:p>
    <w:p>
      <w:pPr>
        <w:pStyle w:val="ListBullet"/>
      </w:pPr>
      <w:r>
        <w:rPr>
          <w:b/>
        </w:rPr>
        <w:t>Scope.</w:t>
      </w:r>
      <w:r>
        <w:rPr/>
        <w:t xml:space="preserve"> The analysis uses the main batch and the original 132, as recorded; it was not rerun on the 121. Denominators are small, and capped episodes may differ from shorter ones in ways other than length; the design cannot separate the two.</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(Methods 2.12; Results; Limitations 4.9)</w:t>
            </w:r>
          </w:p>
          <w:p>
            <w:r>
              <w:rPr>
                <w:b/>
              </w:rPr>
              <w:t>Methods 2.12 (add):</w:t>
            </w:r>
            <w:r>
              <w:rPr/>
              <w:t xml:space="preserve"> "To describe whether the eight-turn maximum was associated with reference-standard completeness, we compared episodes that reached the maximum (exactly eight speaker turns; 'capped') with shorter episodes, reporting the share of episodes with a reference null for each categorical field and the qwen2.5:7b unsupported-assertion rate, in the main batch and the frozen evaluation set. This comparison is descriptive."</w:t>
            </w:r>
          </w:p>
          <w:p>
            <w:r>
              <w:rPr>
                <w:b/>
              </w:rPr>
              <w:t>Results (add):</w:t>
            </w:r>
            <w:r>
              <w:rPr/>
              <w:t xml:space="preserve"> "Capped episodes had fewer reference nulls than shorter episodes in both sets (mean across fields 13.9% vs 16.3% in the main batch and 10.1% vs 14.5% in the evaluation set; Table Z). Domain and prompt level were never null in capped episodes; nulls were concentrated in modality and outcome. The qwen2.5:7b unsupported-assertion rate was higher in capped episodes (64.4% vs 48.4%; 61.3% vs 40.6%), on 104–31 null slots per group."</w:t>
            </w:r>
          </w:p>
          <w:p>
            <w:r>
              <w:rPr>
                <w:b/>
              </w:rPr>
              <w:t>Limitations 4.9 (replace the empirical clause):</w:t>
            </w:r>
            <w:r>
              <w:rPr/>
              <w:t xml:space="preserve"> "… context across those boundaries is lost. Capped episodes differed descriptively from shorter ones in reference-null frequency (Section 3.x), so extraction behaviour and the opportunities for unsupported assertion may differ under longer context windows."</w:t>
            </w:r>
          </w:p>
        </w:tc>
      </w:tr>
    </w:tbl>
    <w:p/>
    <w:p>
      <w:r>
        <w:br w:type="page"/>
      </w:r>
    </w:p>
    <w:p>
      <w:pPr>
        <w:pStyle w:val="Heading1"/>
      </w:pPr>
      <w:r>
        <w:t>R5-3  ·  Minor  ·  Conclusion slightly overstates stability of model ranking</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5. Conclusions</w:t>
      </w:r>
    </w:p>
    <w:p>
      <w:pPr>
        <w:spacing w:after="60"/>
        <w:ind w:left="240"/>
      </w:pPr>
      <w:r>
        <w:rPr>
          <w:b/>
          <w:color w:val="2A4E7A"/>
        </w:rPr>
        <w:t xml:space="preserve">Reviewer concern: </w:t>
      </w:r>
      <w:r>
        <w:rPr>
          <w:color w:val="2A4E7A"/>
        </w:rPr>
        <w:t>The Conclusion states that the post-audit 121-set preserved the broad model-ranking conclusions. However, the top-two ordering changes: Qwen 2.5 7B has slightly higher merged agreement on the main batch, while Qwen 3 14B is slightly higher on the post-audit 121-set. The paired difference is small and uncertain, so this is not a substantive scientific problem, but the phrase "preserved the broad model-ranking" is stronger than the results support.</w:t>
      </w:r>
    </w:p>
    <w:p>
      <w:pPr>
        <w:spacing w:after="60"/>
        <w:ind w:left="240"/>
      </w:pPr>
      <w:r>
        <w:rPr>
          <w:b/>
          <w:color w:val="2A4E7A"/>
        </w:rPr>
        <w:t xml:space="preserve">Required action: </w:t>
      </w:r>
      <w:r>
        <w:rPr>
          <w:color w:val="2A4E7A"/>
        </w:rPr>
        <w:t>Replace the phrase with wording such as "preserved the broad comparative pattern and unsupported-assertion conclusions," or explicitly state that the top-two ordering was not stable while the broader comparative conclusions were unchanged.</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Agreed. The top two generators swap order on merged agreement between the main batch and the 121-set, and every paired interval includes zero.</w:t>
      </w:r>
      <w:r>
        <w:rPr/>
        <w:t xml:space="preserve"> The Conclusion now uses the reviewer's phrase and states that the top-two ordering was not stable.</w:t>
      </w:r>
    </w:p>
    <w:p>
      <w:pPr>
        <w:keepNext/>
        <w:spacing w:before="120"/>
      </w:pPr>
      <w:r>
        <w:rPr>
          <w:b/>
          <w:sz w:val="19"/>
        </w:rPr>
        <w:t xml:space="preserve">Table 6. </w:t>
      </w:r>
      <w:r>
        <w:rPr>
          <w:sz w:val="19"/>
        </w:rPr>
        <w:t xml:space="preserve">The two strongest generators across evaluation sets: merged agreement (%) and paired differences qwen3:14b − qwen2.5:7b (percentage points, 95% child-cluster CI). Sources: </w:t>
      </w:r>
      <w:r>
        <w:rPr>
          <w:rFonts w:ascii="Consolas" w:hAnsi="Consolas"/>
          <w:sz w:val="19"/>
        </w:rPr>
        <w:t>round4_analysis.json</w:t>
      </w:r>
      <w:r>
        <w:rPr>
          <w:sz w:val="19"/>
        </w:rPr>
        <w:t xml:space="preserve"> (same_universe.groups), </w:t>
      </w:r>
      <w:r>
        <w:rPr>
          <w:rFonts w:ascii="Consolas" w:hAnsi="Consolas"/>
          <w:sz w:val="19"/>
        </w:rPr>
        <w:t>round3_analysis.json</w:t>
      </w:r>
      <w:r>
        <w:rPr>
          <w:sz w:val="19"/>
        </w:rPr>
        <w:t xml:space="preserve"> (paired), </w:t>
      </w:r>
      <w:r>
        <w:rPr>
          <w:rFonts w:ascii="Consolas" w:hAnsi="Consolas"/>
          <w:sz w:val="19"/>
        </w:rPr>
        <w:t>round5_analysis.json</w:t>
      </w:r>
      <w:r>
        <w:rPr>
          <w:sz w:val="19"/>
        </w:rPr>
        <w:t xml:space="preserve"> (equal-child).</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2304"/>
            <w:shd w:val="clear" w:color="auto" w:fill="E8EEF6"/>
          </w:tcPr>
          <w:p>
            <w:r/>
            <w:r>
              <w:rPr>
                <w:b/>
                <w:sz w:val="18"/>
              </w:rPr>
              <w:t>Set</w:t>
            </w:r>
          </w:p>
        </w:tc>
        <w:tc>
          <w:tcPr>
            <w:tcW w:type="dxa" w:w="1368"/>
            <w:shd w:val="clear" w:color="auto" w:fill="E8EEF6"/>
          </w:tcPr>
          <w:p>
            <w:r/>
            <w:r>
              <w:rPr>
                <w:b/>
                <w:sz w:val="18"/>
              </w:rPr>
              <w:t>qwen2.5:7b merged</w:t>
            </w:r>
          </w:p>
        </w:tc>
        <w:tc>
          <w:tcPr>
            <w:tcW w:type="dxa" w:w="1368"/>
            <w:shd w:val="clear" w:color="auto" w:fill="E8EEF6"/>
          </w:tcPr>
          <w:p>
            <w:r/>
            <w:r>
              <w:rPr>
                <w:b/>
                <w:sz w:val="18"/>
              </w:rPr>
              <w:t>qwen3:14b merged</w:t>
            </w:r>
          </w:p>
        </w:tc>
        <w:tc>
          <w:tcPr>
            <w:tcW w:type="dxa" w:w="2232"/>
            <w:shd w:val="clear" w:color="auto" w:fill="E8EEF6"/>
          </w:tcPr>
          <w:p>
            <w:r/>
            <w:r>
              <w:rPr>
                <w:b/>
                <w:sz w:val="18"/>
              </w:rPr>
              <w:t>Paired Δ merged</w:t>
            </w:r>
          </w:p>
        </w:tc>
        <w:tc>
          <w:tcPr>
            <w:tcW w:type="dxa" w:w="2376"/>
            <w:shd w:val="clear" w:color="auto" w:fill="E8EEF6"/>
          </w:tcPr>
          <w:p>
            <w:r/>
            <w:r>
              <w:rPr>
                <w:b/>
                <w:sz w:val="18"/>
              </w:rPr>
              <w:t>Paired Δ unsupported</w:t>
            </w:r>
          </w:p>
        </w:tc>
      </w:tr>
      <w:tr>
        <w:tc>
          <w:tcPr>
            <w:tcW w:type="dxa" w:w="2304"/>
          </w:tcPr>
          <w:p>
            <w:r/>
            <w:r>
              <w:rPr>
                <w:sz w:val="18"/>
              </w:rPr>
              <w:t>Main batch (330)</w:t>
            </w:r>
          </w:p>
        </w:tc>
        <w:tc>
          <w:tcPr>
            <w:tcW w:type="dxa" w:w="1368"/>
          </w:tcPr>
          <w:p>
            <w:r/>
            <w:r>
              <w:rPr>
                <w:sz w:val="18"/>
              </w:rPr>
              <w:t>43.1</w:t>
            </w:r>
          </w:p>
        </w:tc>
        <w:tc>
          <w:tcPr>
            <w:tcW w:type="dxa" w:w="1368"/>
          </w:tcPr>
          <w:p>
            <w:r/>
            <w:r>
              <w:rPr>
                <w:sz w:val="18"/>
              </w:rPr>
              <w:t>42.0</w:t>
            </w:r>
          </w:p>
        </w:tc>
        <w:tc>
          <w:tcPr>
            <w:tcW w:type="dxa" w:w="2232"/>
          </w:tcPr>
          <w:p>
            <w:r/>
            <w:r>
              <w:rPr>
                <w:sz w:val="18"/>
              </w:rPr>
              <w:t>-1.1 [-3.7, +1.7]</w:t>
            </w:r>
          </w:p>
        </w:tc>
        <w:tc>
          <w:tcPr>
            <w:tcW w:type="dxa" w:w="2376"/>
          </w:tcPr>
          <w:p>
            <w:r/>
            <w:r>
              <w:rPr>
                <w:sz w:val="18"/>
              </w:rPr>
              <w:t>+40.1 [+19.4, +54.2]</w:t>
            </w:r>
          </w:p>
        </w:tc>
      </w:tr>
      <w:tr>
        <w:tc>
          <w:tcPr>
            <w:tcW w:type="dxa" w:w="2304"/>
          </w:tcPr>
          <w:p>
            <w:r/>
            <w:r>
              <w:rPr>
                <w:sz w:val="18"/>
              </w:rPr>
              <w:t>Frozen 132</w:t>
            </w:r>
          </w:p>
        </w:tc>
        <w:tc>
          <w:tcPr>
            <w:tcW w:type="dxa" w:w="1368"/>
          </w:tcPr>
          <w:p>
            <w:r/>
            <w:r>
              <w:rPr>
                <w:sz w:val="18"/>
              </w:rPr>
              <w:t>38.8</w:t>
            </w:r>
          </w:p>
        </w:tc>
        <w:tc>
          <w:tcPr>
            <w:tcW w:type="dxa" w:w="1368"/>
          </w:tcPr>
          <w:p>
            <w:r/>
            <w:r>
              <w:rPr>
                <w:sz w:val="18"/>
              </w:rPr>
              <w:t>40.2</w:t>
            </w:r>
          </w:p>
        </w:tc>
        <w:tc>
          <w:tcPr>
            <w:tcW w:type="dxa" w:w="2232"/>
          </w:tcPr>
          <w:p>
            <w:r/>
            <w:r>
              <w:rPr>
                <w:sz w:val="18"/>
              </w:rPr>
              <w:t>+1.3 [-3.0, +5.1]</w:t>
            </w:r>
          </w:p>
        </w:tc>
        <w:tc>
          <w:tcPr>
            <w:tcW w:type="dxa" w:w="2376"/>
          </w:tcPr>
          <w:p>
            <w:r/>
            <w:r>
              <w:rPr>
                <w:sz w:val="18"/>
              </w:rPr>
              <w:t>+41.3 [+17.1, +54.5]</w:t>
            </w:r>
          </w:p>
        </w:tc>
      </w:tr>
      <w:tr>
        <w:tc>
          <w:tcPr>
            <w:tcW w:type="dxa" w:w="2304"/>
          </w:tcPr>
          <w:p>
            <w:r/>
            <w:r>
              <w:rPr>
                <w:sz w:val="18"/>
              </w:rPr>
              <w:t>121, episode-weighted</w:t>
            </w:r>
          </w:p>
        </w:tc>
        <w:tc>
          <w:tcPr>
            <w:tcW w:type="dxa" w:w="1368"/>
          </w:tcPr>
          <w:p>
            <w:r/>
            <w:r>
              <w:rPr>
                <w:sz w:val="18"/>
              </w:rPr>
              <w:t>40.5</w:t>
            </w:r>
          </w:p>
        </w:tc>
        <w:tc>
          <w:tcPr>
            <w:tcW w:type="dxa" w:w="1368"/>
          </w:tcPr>
          <w:p>
            <w:r/>
            <w:r>
              <w:rPr>
                <w:sz w:val="18"/>
              </w:rPr>
              <w:t>41.3</w:t>
            </w:r>
          </w:p>
        </w:tc>
        <w:tc>
          <w:tcPr>
            <w:tcW w:type="dxa" w:w="2232"/>
          </w:tcPr>
          <w:p>
            <w:r/>
            <w:r>
              <w:rPr>
                <w:sz w:val="18"/>
              </w:rPr>
              <w:t>+0.8 [-2.6, +3.9]</w:t>
            </w:r>
          </w:p>
        </w:tc>
        <w:tc>
          <w:tcPr>
            <w:tcW w:type="dxa" w:w="2376"/>
          </w:tcPr>
          <w:p>
            <w:r/>
            <w:r>
              <w:rPr>
                <w:sz w:val="18"/>
              </w:rPr>
              <w:t>+39.6 [+14.8, +53.7]</w:t>
            </w:r>
          </w:p>
        </w:tc>
      </w:tr>
      <w:tr>
        <w:tc>
          <w:tcPr>
            <w:tcW w:type="dxa" w:w="2304"/>
          </w:tcPr>
          <w:p>
            <w:r/>
            <w:r>
              <w:rPr>
                <w:sz w:val="18"/>
              </w:rPr>
              <w:t>121, equal-child (sensitivity)</w:t>
            </w:r>
          </w:p>
        </w:tc>
        <w:tc>
          <w:tcPr>
            <w:tcW w:type="dxa" w:w="1368"/>
          </w:tcPr>
          <w:p>
            <w:r/>
            <w:r>
              <w:rPr>
                <w:sz w:val="18"/>
              </w:rPr>
              <w:t>39.7</w:t>
            </w:r>
          </w:p>
        </w:tc>
        <w:tc>
          <w:tcPr>
            <w:tcW w:type="dxa" w:w="1368"/>
          </w:tcPr>
          <w:p>
            <w:r/>
            <w:r>
              <w:rPr>
                <w:sz w:val="18"/>
              </w:rPr>
              <w:t>40.2</w:t>
            </w:r>
          </w:p>
        </w:tc>
        <w:tc>
          <w:tcPr>
            <w:tcW w:type="dxa" w:w="2232"/>
          </w:tcPr>
          <w:p>
            <w:r/>
            <w:r>
              <w:rPr>
                <w:sz w:val="18"/>
              </w:rPr>
              <w:t>+0.5 [-2.8, +3.7]</w:t>
            </w:r>
          </w:p>
        </w:tc>
        <w:tc>
          <w:tcPr>
            <w:tcW w:type="dxa" w:w="2376"/>
          </w:tcPr>
          <w:p>
            <w:r/>
            <w:r>
              <w:rPr>
                <w:sz w:val="18"/>
              </w:rPr>
              <w:t>+20.6 [-7.6, +45.9]</w:t>
            </w:r>
          </w:p>
        </w:tc>
      </w:tr>
    </w:tbl>
    <w:p>
      <w:pPr>
        <w:spacing w:after="0"/>
      </w:pPr>
    </w:p>
    <w:p>
      <w:pPr>
        <w:spacing w:before="160" w:after="40"/>
      </w:pPr>
      <w:r>
        <w:rPr>
          <w:b/>
          <w:color w:val="1F2933"/>
          <w:sz w:val="21"/>
        </w:rPr>
        <w:t>Supporting argument</w:t>
      </w:r>
    </w:p>
    <w:p>
      <w:pPr>
        <w:pStyle w:val="ListBullet"/>
      </w:pPr>
      <w:r>
        <w:rPr>
          <w:b/>
        </w:rPr>
        <w:t>What is stable.</w:t>
      </w:r>
      <w:r>
        <w:rPr/>
        <w:t xml:space="preserve"> On every set qwen2.5:3b has the lowest merged agreement and the lowest unsupported-assertion rate, and llama3.2 and qwen3:14b have high unsupported-assertion rates. Under the primary (episode-weighted) estimand the qwen3:14b − qwen2.5:7b unsupported-assertion difference excludes zero on the main batch, the frozen 132 and the 121.</w:t>
      </w:r>
    </w:p>
    <w:p>
      <w:pPr>
        <w:pStyle w:val="ListBullet"/>
      </w:pPr>
      <w:r>
        <w:rPr>
          <w:b/>
        </w:rPr>
        <w:t>What is not.</w:t>
      </w:r>
      <w:r>
        <w:rPr/>
        <w:t xml:space="preserve"> The top-two order on merged agreement reverses, on differences of about one point.</w:t>
      </w:r>
    </w:p>
    <w:p>
      <w:pPr>
        <w:pStyle w:val="ListBullet"/>
      </w:pPr>
      <w:r>
        <w:rPr>
          <w:b/>
        </w:rPr>
        <w:t>Note on consistency with R5-1.</w:t>
      </w:r>
      <w:r>
        <w:rPr/>
        <w:t xml:space="preserve"> The phrase 'unsupported-assertion conclusions' refers to the primary estimand. Under the equal-child sensitivity analysis the 121-set unsupported-assertion difference between the two strongest generators includes zero; this is stated in Results and Limitations (R5-1).</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 5, Conclusions)</w:t>
            </w:r>
          </w:p>
          <w:p>
            <w:r>
              <w:rPr/>
              <w:t>Replace "preserved the broad model-ranking conclusions" with: "preserved the broad comparative pattern and unsupported-assertion conclusions, although the ordering of the two strongest generators on merged agreement was not stable."</w:t>
            </w:r>
          </w:p>
        </w:tc>
      </w:tr>
    </w:tbl>
    <w:p/>
    <w:p>
      <w:r>
        <w:br w:type="page"/>
      </w:r>
    </w:p>
    <w:p>
      <w:pPr>
        <w:pStyle w:val="Heading1"/>
      </w:pPr>
      <w:r>
        <w:t>Suggested resolution order, with status</w:t>
      </w:r>
    </w:p>
    <w:p>
      <w:pPr>
        <w:keepNext/>
        <w:spacing w:before="120"/>
      </w:pPr>
      <w:r>
        <w:rPr>
          <w:b/>
          <w:sz w:val="19"/>
        </w:rPr>
        <w:t xml:space="preserve">Table 7. </w:t>
      </w:r>
      <w:r>
        <w:rPr>
          <w:sz w:val="19"/>
        </w:rPr>
        <w:t>The reviewer's order, unchanged, with what this round did.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432"/>
            <w:shd w:val="clear" w:color="auto" w:fill="E8EEF6"/>
          </w:tcPr>
          <w:p>
            <w:r/>
            <w:r>
              <w:rPr>
                <w:b/>
                <w:sz w:val="18"/>
              </w:rPr>
              <w:t>#</w:t>
            </w:r>
          </w:p>
        </w:tc>
        <w:tc>
          <w:tcPr>
            <w:tcW w:type="dxa" w:w="1152"/>
            <w:shd w:val="clear" w:color="auto" w:fill="E8EEF6"/>
          </w:tcPr>
          <w:p>
            <w:r/>
            <w:r>
              <w:rPr>
                <w:b/>
                <w:sz w:val="18"/>
              </w:rPr>
              <w:t>Comment</w:t>
            </w:r>
          </w:p>
        </w:tc>
        <w:tc>
          <w:tcPr>
            <w:tcW w:type="dxa" w:w="5616"/>
            <w:shd w:val="clear" w:color="auto" w:fill="E8EEF6"/>
          </w:tcPr>
          <w:p>
            <w:r/>
            <w:r>
              <w:rPr>
                <w:b/>
                <w:sz w:val="18"/>
              </w:rPr>
              <w:t>Next action (reviewer)</w:t>
            </w:r>
          </w:p>
        </w:tc>
        <w:tc>
          <w:tcPr>
            <w:tcW w:type="dxa" w:w="2448"/>
            <w:shd w:val="clear" w:color="auto" w:fill="E8EEF6"/>
          </w:tcPr>
          <w:p>
            <w:r/>
            <w:r>
              <w:rPr>
                <w:b/>
                <w:sz w:val="18"/>
              </w:rPr>
              <w:t>Status</w:t>
            </w:r>
          </w:p>
        </w:tc>
      </w:tr>
      <w:tr>
        <w:tc>
          <w:tcPr>
            <w:tcW w:type="dxa" w:w="432"/>
          </w:tcPr>
          <w:p>
            <w:r/>
            <w:r>
              <w:rPr>
                <w:sz w:val="18"/>
              </w:rPr>
              <w:t>1</w:t>
            </w:r>
          </w:p>
        </w:tc>
        <w:tc>
          <w:tcPr>
            <w:tcW w:type="dxa" w:w="1152"/>
          </w:tcPr>
          <w:p>
            <w:r/>
            <w:r>
              <w:rPr>
                <w:sz w:val="18"/>
              </w:rPr>
              <w:t>R5-1</w:t>
            </w:r>
          </w:p>
        </w:tc>
        <w:tc>
          <w:tcPr>
            <w:tcW w:type="dxa" w:w="5616"/>
          </w:tcPr>
          <w:p>
            <w:r/>
            <w:r>
              <w:rPr>
                <w:sz w:val="18"/>
              </w:rPr>
              <w:t>Check per-child counts and add an equal-child-weighted sensitivity estimate or justify the episode-weighted estimand.</w:t>
            </w:r>
          </w:p>
        </w:tc>
        <w:tc>
          <w:tcPr>
            <w:tcW w:type="dxa" w:w="2448"/>
          </w:tcPr>
          <w:p>
            <w:r/>
            <w:r>
              <w:rPr>
                <w:sz w:val="18"/>
              </w:rPr>
              <w:t>Done; both</w:t>
            </w:r>
          </w:p>
        </w:tc>
      </w:tr>
      <w:tr>
        <w:tc>
          <w:tcPr>
            <w:tcW w:type="dxa" w:w="432"/>
          </w:tcPr>
          <w:p>
            <w:r/>
            <w:r>
              <w:rPr>
                <w:sz w:val="18"/>
              </w:rPr>
              <w:t>2</w:t>
            </w:r>
          </w:p>
        </w:tc>
        <w:tc>
          <w:tcPr>
            <w:tcW w:type="dxa" w:w="1152"/>
          </w:tcPr>
          <w:p>
            <w:r/>
            <w:r>
              <w:rPr>
                <w:sz w:val="18"/>
              </w:rPr>
              <w:t>R5-2</w:t>
            </w:r>
          </w:p>
        </w:tc>
        <w:tc>
          <w:tcPr>
            <w:tcW w:type="dxa" w:w="5616"/>
          </w:tcPr>
          <w:p>
            <w:r/>
            <w:r>
              <w:rPr>
                <w:sz w:val="18"/>
              </w:rPr>
              <w:t>Report the capped-versus-shorter reference-null analysis properly or remove the statement.</w:t>
            </w:r>
          </w:p>
        </w:tc>
        <w:tc>
          <w:tcPr>
            <w:tcW w:type="dxa" w:w="2448"/>
          </w:tcPr>
          <w:p>
            <w:r/>
            <w:r>
              <w:rPr>
                <w:sz w:val="18"/>
              </w:rPr>
              <w:t>Done; reported in Methods/Results</w:t>
            </w:r>
          </w:p>
        </w:tc>
      </w:tr>
      <w:tr>
        <w:tc>
          <w:tcPr>
            <w:tcW w:type="dxa" w:w="432"/>
          </w:tcPr>
          <w:p>
            <w:r/>
            <w:r>
              <w:rPr>
                <w:sz w:val="18"/>
              </w:rPr>
              <w:t>3</w:t>
            </w:r>
          </w:p>
        </w:tc>
        <w:tc>
          <w:tcPr>
            <w:tcW w:type="dxa" w:w="1152"/>
          </w:tcPr>
          <w:p>
            <w:r/>
            <w:r>
              <w:rPr>
                <w:sz w:val="18"/>
              </w:rPr>
              <w:t>R5-3</w:t>
            </w:r>
          </w:p>
        </w:tc>
        <w:tc>
          <w:tcPr>
            <w:tcW w:type="dxa" w:w="5616"/>
          </w:tcPr>
          <w:p>
            <w:r/>
            <w:r>
              <w:rPr>
                <w:sz w:val="18"/>
              </w:rPr>
              <w:t>Tighten the Conclusion wording around model-ranking stability.</w:t>
            </w:r>
          </w:p>
        </w:tc>
        <w:tc>
          <w:tcPr>
            <w:tcW w:type="dxa" w:w="2448"/>
          </w:tcPr>
          <w:p>
            <w:r/>
            <w:r>
              <w:rPr>
                <w:sz w:val="18"/>
              </w:rPr>
              <w:t>Done; wording supplied</w:t>
            </w:r>
          </w:p>
        </w:tc>
      </w:tr>
    </w:tbl>
    <w:p>
      <w:pPr>
        <w:spacing w:after="0"/>
      </w:pPr>
    </w:p>
    <w:p>
      <w:pPr>
        <w:pStyle w:val="Heading1"/>
      </w:pPr>
      <w:r>
        <w:t>How this document was produced</w:t>
      </w:r>
    </w:p>
    <w:p>
      <w:pPr>
        <w:ind w:left="280"/>
      </w:pPr>
      <w:r>
        <w:rPr>
          <w:rFonts w:ascii="Consolas" w:hAnsi="Consolas"/>
          <w:sz w:val="18"/>
        </w:rPr>
        <w:t>uv run python -m tests.eval.extraction.round5_analysis   # no model calls; needs exp-data/ locally</w:t>
        <w:br/>
      </w:r>
      <w:r>
        <w:rPr>
          <w:rFonts w:ascii="Consolas" w:hAnsi="Consolas"/>
          <w:sz w:val="18"/>
        </w:rPr>
        <w:t>uv run python docs/paper/make_round5_response.py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