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Response to Round-6 Technical Questions</w:t>
      </w:r>
    </w:p>
    <w:p>
      <w:r>
        <w:rPr>
          <w:color w:val="52514E"/>
        </w:rPr>
        <w:t>Answers the technical items in 'Round6_review_feedback.docx' (R6-1, R6-3) in their original order, each request quoted first. Branch model-finetuning, built 2026-09-26. Internal working document; not for submission.</w:t>
      </w:r>
    </w:p>
    <w:p>
      <w:r>
        <w:rPr>
          <w:color w:val="52514E"/>
        </w:rPr>
        <w:t xml:space="preserve">Scope as requested: no model re-run, no new annotation, no re-adjudication, no redraw, no replacement of frozen records. Every number is read from </w:t>
      </w:r>
      <w:r>
        <w:rPr>
          <w:rFonts w:ascii="Consolas" w:hAnsi="Consolas"/>
          <w:color w:val="52514E"/>
          <w:sz w:val="18"/>
        </w:rPr>
        <w:t>round6_analysis.json</w:t>
      </w:r>
      <w:r>
        <w:rPr>
          <w:color w:val="52514E"/>
        </w:rPr>
        <w:t>, computed from preserved outputs, annotator labels and the deterministic CHAT pipeline. Claims are checked by assertion when this document is built.</w:t>
      </w:r>
    </w:p>
    <w:p>
      <w:pPr>
        <w:pStyle w:val="Heading1"/>
      </w:pPr>
      <w:r>
        <w:t>Results at a glance</w:t>
      </w:r>
    </w:p>
    <w:p>
      <w:pPr>
        <w:keepNext/>
        <w:spacing w:before="120"/>
      </w:pPr>
      <w:r>
        <w:rPr>
          <w:b/>
          <w:sz w:val="19"/>
        </w:rPr>
        <w:t xml:space="preserve">Table 1. </w:t>
      </w:r>
      <w:r>
        <w:rPr>
          <w:sz w:val="19"/>
        </w:rPr>
        <w:t>The two requested analyses in one line each.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008"/>
            <w:shd w:val="clear" w:color="auto" w:fill="E8EEF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1152"/>
            <w:shd w:val="clear" w:color="auto" w:fill="E8EEF6"/>
          </w:tcPr>
          <w:p>
            <w:r/>
            <w:r>
              <w:rPr>
                <w:b/>
                <w:sz w:val="18"/>
              </w:rPr>
              <w:t>Comment</w:t>
            </w:r>
          </w:p>
        </w:tc>
        <w:tc>
          <w:tcPr>
            <w:tcW w:type="dxa" w:w="7488"/>
            <w:shd w:val="clear" w:color="auto" w:fill="E8EEF6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R6-1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5 of 121 evaluation episodes share 1 boundary turn each with 5 main-batch episodes; excluding them (116 left) changes no conclusion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R6-3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Mean kappa 0.926 on the 121 vs 0.910 on the 132; essentially unchanged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R6-1 – Source-turn overlap audit</w:t>
      </w:r>
    </w:p>
    <w:p>
      <w:pPr>
        <w:spacing w:before="160" w:after="40"/>
      </w:pPr>
      <w:r>
        <w:rPr>
          <w:b/>
          <w:color w:val="1F2933"/>
          <w:sz w:val="21"/>
        </w:rPr>
        <w:t>The request, as written</w:t>
      </w:r>
    </w:p>
    <w:p>
      <w:pPr>
        <w:spacing w:after="40"/>
        <w:ind w:left="240"/>
      </w:pPr>
      <w:r>
        <w:rPr>
          <w:b/>
          <w:color w:val="2A4E7A"/>
        </w:rPr>
        <w:t>Why the reviewer is asking</w:t>
      </w:r>
    </w:p>
    <w:p>
      <w:pPr>
        <w:spacing w:after="40"/>
        <w:ind w:left="240"/>
      </w:pPr>
      <w:r>
        <w:rPr>
          <w:color w:val="2A4E7A"/>
        </w:rPr>
        <w:t>The current stable-identity audit removes identical episodes, but the episode-construction procedure allows adjacent episodes to share one source utterance. Stable identity based on session + source start line therefore does not by itself prove that the post-audit 121 evaluation episodes share no underlying source turns with the 330 main-batch episodes.</w:t>
      </w:r>
    </w:p>
    <w:p>
      <w:pPr>
        <w:spacing w:after="40"/>
        <w:ind w:left="240"/>
      </w:pPr>
      <w:r>
        <w:rPr>
          <w:b/>
          <w:color w:val="2A4E7A"/>
        </w:rPr>
        <w:t>Please perform this audit</w:t>
      </w:r>
    </w:p>
    <w:p>
      <w:pPr>
        <w:spacing w:after="40"/>
        <w:ind w:left="480"/>
      </w:pPr>
      <w:r>
        <w:rPr>
          <w:color w:val="2A4E7A"/>
        </w:rPr>
        <w:t>• For every episode in the post-audit overlap-excluded 121-set, obtain the exact set/range of underlying source utterance or source-line identifiers used to construct that episode.</w:t>
      </w:r>
    </w:p>
    <w:p>
      <w:pPr>
        <w:spacing w:after="40"/>
        <w:ind w:left="480"/>
      </w:pPr>
      <w:r>
        <w:rPr>
          <w:color w:val="2A4E7A"/>
        </w:rPr>
        <w:t>• Do the same for the 330 main-batch episodes.</w:t>
      </w:r>
    </w:p>
    <w:p>
      <w:pPr>
        <w:spacing w:after="40"/>
        <w:ind w:left="480"/>
      </w:pPr>
      <w:r>
        <w:rPr>
          <w:color w:val="2A4E7A"/>
        </w:rPr>
        <w:t>• Within the same child/session, compare the underlying source-line sets and identify any 121-set episode that shares at least one source turn with any main-batch episode.</w:t>
      </w:r>
    </w:p>
    <w:p>
      <w:pPr>
        <w:spacing w:after="40"/>
        <w:ind w:left="480"/>
      </w:pPr>
      <w:r>
        <w:rPr>
          <w:color w:val="2A4E7A"/>
        </w:rPr>
        <w:t>• Use source-line/utterance identity, not rendered text matching, because different episodes can contain identical text.</w:t>
      </w:r>
    </w:p>
    <w:p>
      <w:pPr>
        <w:spacing w:after="40"/>
        <w:ind w:left="240"/>
      </w:pPr>
      <w:r>
        <w:rPr>
          <w:b/>
          <w:color w:val="2A4E7A"/>
        </w:rPr>
        <w:t>Please return these counts</w:t>
      </w:r>
    </w:p>
    <w:p>
      <w:pPr>
        <w:spacing w:after="40"/>
        <w:ind w:left="480"/>
      </w:pPr>
      <w:r>
        <w:rPr>
          <w:color w:val="2A4E7A"/>
        </w:rPr>
        <w:t>• Number of the 121 evaluation episodes that share at least one source turn with the 330 main batch.</w:t>
      </w:r>
    </w:p>
    <w:p>
      <w:pPr>
        <w:spacing w:after="40"/>
        <w:ind w:left="480"/>
      </w:pPr>
      <w:r>
        <w:rPr>
          <w:color w:val="2A4E7A"/>
        </w:rPr>
        <w:t>• Number of distinct main-batch episodes involved in such cross-set sharing.</w:t>
      </w:r>
    </w:p>
    <w:p>
      <w:pPr>
        <w:spacing w:after="40"/>
        <w:ind w:left="480"/>
      </w:pPr>
      <w:r>
        <w:rPr>
          <w:color w:val="2A4E7A"/>
        </w:rPr>
        <w:t>• Number of distinct shared source turns/utterance lines, with a per-child or per-session breakdown if straightforward.</w:t>
      </w:r>
    </w:p>
    <w:p>
      <w:pPr>
        <w:spacing w:after="40"/>
        <w:ind w:left="480"/>
      </w:pPr>
      <w:r>
        <w:rPr>
          <w:color w:val="2A4E7A"/>
        </w:rPr>
        <w:t>• For each affected evaluation episode, how many source turns are shared with the matched main-batch episode(s).</w:t>
      </w:r>
    </w:p>
    <w:p>
      <w:pPr>
        <w:spacing w:after="40"/>
        <w:ind w:left="480"/>
      </w:pPr>
      <w:r>
        <w:rPr>
          <w:color w:val="2A4E7A"/>
        </w:rPr>
        <w:t>• The number of evaluation episodes remaining after excluding every source-turn-overlapping evaluation episode for sensitivity analysis.</w:t>
      </w:r>
    </w:p>
    <w:p>
      <w:pPr>
        <w:spacing w:after="40"/>
        <w:ind w:left="240"/>
      </w:pPr>
      <w:r>
        <w:rPr>
          <w:b/>
          <w:color w:val="2A4E7A"/>
        </w:rPr>
        <w:t>Sensitivity analysis only if any overlap is found</w:t>
      </w:r>
    </w:p>
    <w:p>
      <w:pPr>
        <w:spacing w:after="40"/>
        <w:ind w:left="240"/>
      </w:pPr>
      <w:r>
        <w:rPr>
          <w:color w:val="2A4E7A"/>
        </w:rPr>
        <w:t>Without redrawing or replacing any episode, exclude the affected evaluation episodes only for a sensitivity analysis and recompute the central post-audit evaluation metrics for all four generators:</w:t>
      </w:r>
    </w:p>
    <w:p>
      <w:pPr>
        <w:spacing w:after="40"/>
        <w:ind w:left="720"/>
      </w:pPr>
      <w:r>
        <w:rPr>
          <w:color w:val="2A4E7A"/>
        </w:rPr>
        <w:t>– Merged categorical agreement</w:t>
      </w:r>
    </w:p>
    <w:p>
      <w:pPr>
        <w:spacing w:after="40"/>
        <w:ind w:left="720"/>
      </w:pPr>
      <w:r>
        <w:rPr>
          <w:color w:val="2A4E7A"/>
        </w:rPr>
        <w:t>– Unsupported-assertion rate</w:t>
      </w:r>
    </w:p>
    <w:p>
      <w:pPr>
        <w:spacing w:after="40"/>
        <w:ind w:left="720"/>
      </w:pPr>
      <w:r>
        <w:rPr>
          <w:color w:val="2A4E7A"/>
        </w:rPr>
        <w:t>– Whole-record agreement</w:t>
      </w:r>
    </w:p>
    <w:p>
      <w:pPr>
        <w:spacing w:after="40"/>
        <w:ind w:left="240"/>
      </w:pPr>
      <w:r>
        <w:rPr>
          <w:color w:val="2A4E7A"/>
        </w:rPr>
        <w:t>Please provide the resulting N and point estimates. If the existing analysis utility can produce the same child-cluster 95% confidence intervals with minimal work, include them; otherwise point estimates are sufficient for us to determine whether the manuscript conclusion changes.</w:t>
      </w:r>
    </w:p>
    <w:p>
      <w:pPr>
        <w:spacing w:after="40"/>
        <w:ind w:left="240"/>
      </w:pPr>
      <w:r>
        <w:rPr>
          <w:color w:val="2A4E7A"/>
        </w:rPr>
        <w:t>Important: This is an audit/sensitivity check only. Do not redraw the frozen evaluation set, do not replace excluded episodes, and do not change the existing reference labels.</w:t>
      </w:r>
    </w:p>
    <w:p>
      <w:pPr>
        <w:spacing w:after="40"/>
        <w:ind w:left="240"/>
      </w:pPr>
      <w:r>
        <w:rPr>
          <w:b/>
          <w:color w:val="2A4E7A"/>
        </w:rPr>
        <w:t>Preferred response format for R6-1</w:t>
      </w:r>
    </w:p>
    <w:p>
      <w:pPr>
        <w:spacing w:after="40"/>
        <w:ind w:left="480"/>
      </w:pPr>
      <w:r>
        <w:rPr>
          <w:color w:val="2A4E7A"/>
        </w:rPr>
        <w:t>• Short explanation of the matching key/logic used.</w:t>
      </w:r>
    </w:p>
    <w:p>
      <w:pPr>
        <w:spacing w:after="40"/>
        <w:ind w:left="480"/>
      </w:pPr>
      <w:r>
        <w:rPr>
          <w:color w:val="2A4E7A"/>
        </w:rPr>
        <w:t>• Compact table of affected evaluation episodes (opaque/study IDs are fine), child/session, matched main-batch episode, and number of shared turns.</w:t>
      </w:r>
    </w:p>
    <w:p>
      <w:pPr>
        <w:spacing w:after="40"/>
        <w:ind w:left="480"/>
      </w:pPr>
      <w:r>
        <w:rPr>
          <w:color w:val="2A4E7A"/>
        </w:rPr>
        <w:t>• Summary counts.</w:t>
      </w:r>
    </w:p>
    <w:p>
      <w:pPr>
        <w:spacing w:after="40"/>
        <w:ind w:left="480"/>
      </w:pPr>
      <w:r>
        <w:rPr>
          <w:color w:val="2A4E7A"/>
        </w:rPr>
        <w:t>• Sensitivity-result table if any overlap exists.</w:t>
      </w:r>
    </w:p>
    <w:p>
      <w:pPr>
        <w:spacing w:after="40"/>
        <w:ind w:left="480"/>
      </w:pPr>
      <w:r>
        <w:rPr>
          <w:color w:val="2A4E7A"/>
        </w:rPr>
        <w:t>• Name(s) of the source artifact/script/output file used or generated.</w:t>
      </w:r>
    </w:p>
    <w:p>
      <w:pPr>
        <w:pStyle w:val="Heading2"/>
      </w:pPr>
      <w:r>
        <w:t>Response</w:t>
      </w:r>
    </w:p>
    <w:p>
      <w:pPr>
        <w:spacing w:before="160" w:after="40"/>
      </w:pPr>
      <w:r>
        <w:rPr>
          <w:b/>
          <w:color w:val="1F2933"/>
          <w:sz w:val="21"/>
        </w:rPr>
        <w:t>Short answer</w:t>
      </w:r>
    </w:p>
    <w:p>
      <w:pPr>
        <w:ind w:left="200"/>
        <w:pBdr>
          <w:left w:val="single" w:sz="18" w:space="8" w:color="1BAF7A"/>
        </w:pBdr>
      </w:pPr>
      <w:r>
        <w:rPr>
          <w:b/>
        </w:rPr>
        <w:t>Overlap exists but is minimal: 5 of the 121 evaluation episodes share exactly one source turn each with 5 distinct main-batch episodes (5 distinct shared utterance lines in total).</w:t>
      </w:r>
      <w:r>
        <w:rPr/>
        <w:t xml:space="preserve"> Every shared turn is the boundary utterance between two adjacent episodes of the same session: the last line of one episode is the first line of the next, which is what the episode-construction rule permits. Excluding the five for sensitivity leaves 116 episodes; no metric for any generator moves by more than 1.0 percentage points, and every qwen3:14b − qwen2.5:7b paired conclusion is unchanged.</w:t>
      </w:r>
    </w:p>
    <w:p>
      <w:pPr>
        <w:pStyle w:val="Heading3"/>
      </w:pPr>
      <w:r>
        <w:t>Matching key and logic</w:t>
      </w:r>
    </w:p>
    <w:p>
      <w:pPr>
        <w:pStyle w:val="ListBullet"/>
      </w:pPr>
      <w:r>
        <w:rPr>
          <w:b/>
        </w:rPr>
        <w:t>Key:</w:t>
      </w:r>
      <w:r>
        <w:rPr/>
        <w:t xml:space="preserve"> (session_id, CHAT source line number) for every utterance used to build an episode. Line numbers are those the parser assigns to each utterance in the source </w:t>
      </w:r>
      <w:r>
        <w:rPr>
          <w:rFonts w:ascii="Consolas" w:hAnsi="Consolas"/>
          <w:sz w:val="18"/>
        </w:rPr>
        <w:t>.cha</w:t>
      </w:r>
      <w:r>
        <w:rPr/>
        <w:t xml:space="preserve"> file, carried unchanged through de-identification and segmentation.</w:t>
      </w:r>
    </w:p>
    <w:p>
      <w:pPr>
        <w:pStyle w:val="ListBullet"/>
      </w:pPr>
      <w:r>
        <w:rPr>
          <w:b/>
        </w:rPr>
        <w:t>Sets compared:</w:t>
      </w:r>
      <w:r>
        <w:rPr/>
        <w:t xml:space="preserve"> the 121 post-audit evaluation episodes (frozen 132 minus the 11 pool-identity overlaps, resolved through the cap-5000 selection) and the 330 main-batch episodes (resolved through the cap-3000 selection). Both selections draw from the same single segmentation of the corpus, so line sets are directly comparable.</w:t>
      </w:r>
    </w:p>
    <w:p>
      <w:pPr>
        <w:pStyle w:val="ListBullet"/>
      </w:pPr>
      <w:r>
        <w:rPr>
          <w:b/>
        </w:rPr>
        <w:t>Rule:</w:t>
      </w:r>
      <w:r>
        <w:rPr/>
        <w:t xml:space="preserve"> within the same session, an evaluation episode is affected if its line set intersects the line set of any main-batch episode. Rendered text was not used.</w:t>
      </w:r>
    </w:p>
    <w:p>
      <w:pPr>
        <w:pStyle w:val="ListBullet"/>
      </w:pPr>
      <w:r>
        <w:rPr>
          <w:b/>
        </w:rPr>
        <w:t>Why identity alone was not enough:</w:t>
      </w:r>
      <w:r>
        <w:rPr/>
        <w:t xml:space="preserve"> an episode starts one utterance before the opening child turn, so the last utterance of one episode can be the first of the next while the two have different (session_id, start_line) identities.</w:t>
      </w:r>
    </w:p>
    <w:p>
      <w:pPr>
        <w:pStyle w:val="ListBullet"/>
      </w:pPr>
      <w:r>
        <w:rPr>
          <w:b/>
        </w:rPr>
        <w:t>Check:</w:t>
      </w:r>
      <w:r>
        <w:rPr/>
        <w:t xml:space="preserve"> on the full 132 the same audit finds 1 identity overlap with the 330 (the episode the reviewer refers to) and 6 turn overlaps in total, i.e. that one plus the five here.</w:t>
      </w:r>
    </w:p>
    <w:p>
      <w:pPr>
        <w:keepNext/>
        <w:spacing w:before="120"/>
      </w:pPr>
      <w:r>
        <w:rPr>
          <w:b/>
          <w:sz w:val="19"/>
        </w:rPr>
        <w:t xml:space="preserve">Table 2. </w:t>
      </w:r>
      <w:r>
        <w:rPr>
          <w:sz w:val="19"/>
        </w:rPr>
        <w:t xml:space="preserve">Affected evaluation episodes. Episode IDs are the study segment IDs. Position = where the shared line sits in each episode. Source: </w:t>
      </w:r>
      <w:r>
        <w:rPr>
          <w:rFonts w:ascii="Consolas" w:hAnsi="Consolas"/>
          <w:sz w:val="19"/>
        </w:rPr>
        <w:t>round6_analysis.json</w:t>
      </w:r>
      <w:r>
        <w:rPr>
          <w:sz w:val="19"/>
        </w:rPr>
        <w:t xml:space="preserve"> (turn_audit.affected).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rPr>
          <w:tblHeader w:val="true"/>
        </w:trPr>
        <w:tc>
          <w:tcPr>
            <w:tcW w:type="dxa" w:w="1656"/>
            <w:shd w:val="clear" w:color="auto" w:fill="E8EEF6"/>
          </w:tcPr>
          <w:p>
            <w:r/>
            <w:r>
              <w:rPr>
                <w:b/>
                <w:sz w:val="18"/>
              </w:rPr>
              <w:t>Evaluation episode</w:t>
            </w:r>
          </w:p>
        </w:tc>
        <w:tc>
          <w:tcPr>
            <w:tcW w:type="dxa" w:w="3024"/>
            <w:shd w:val="clear" w:color="auto" w:fill="E8EEF6"/>
          </w:tcPr>
          <w:p>
            <w:r/>
            <w:r>
              <w:rPr>
                <w:b/>
                <w:sz w:val="18"/>
              </w:rPr>
              <w:t>Child / session</w:t>
            </w:r>
          </w:p>
        </w:tc>
        <w:tc>
          <w:tcPr>
            <w:tcW w:type="dxa" w:w="1512"/>
            <w:shd w:val="clear" w:color="auto" w:fill="E8EEF6"/>
          </w:tcPr>
          <w:p>
            <w:r/>
            <w:r>
              <w:rPr>
                <w:b/>
                <w:sz w:val="18"/>
              </w:rPr>
              <w:t>Matched main-batch episode</w:t>
            </w:r>
          </w:p>
        </w:tc>
        <w:tc>
          <w:tcPr>
            <w:tcW w:type="dxa" w:w="864"/>
            <w:shd w:val="clear" w:color="auto" w:fill="E8EEF6"/>
          </w:tcPr>
          <w:p>
            <w:r/>
            <w:r>
              <w:rPr>
                <w:b/>
                <w:sz w:val="18"/>
              </w:rPr>
              <w:t>Shared line</w:t>
            </w:r>
          </w:p>
        </w:tc>
        <w:tc>
          <w:tcPr>
            <w:tcW w:type="dxa" w:w="792"/>
            <w:shd w:val="clear" w:color="auto" w:fill="E8EEF6"/>
          </w:tcPr>
          <w:p>
            <w:r/>
            <w:r>
              <w:rPr>
                <w:b/>
                <w:sz w:val="18"/>
              </w:rPr>
              <w:t>Eval pos.</w:t>
            </w:r>
          </w:p>
        </w:tc>
        <w:tc>
          <w:tcPr>
            <w:tcW w:type="dxa" w:w="792"/>
            <w:shd w:val="clear" w:color="auto" w:fill="E8EEF6"/>
          </w:tcPr>
          <w:p>
            <w:r/>
            <w:r>
              <w:rPr>
                <w:b/>
                <w:sz w:val="18"/>
              </w:rPr>
              <w:t>Main pos.</w:t>
            </w:r>
          </w:p>
        </w:tc>
        <w:tc>
          <w:tcPr>
            <w:tcW w:type="dxa" w:w="1008"/>
            <w:shd w:val="clear" w:color="auto" w:fill="E8EEF6"/>
          </w:tcPr>
          <w:p>
            <w:r/>
            <w:r>
              <w:rPr>
                <w:b/>
                <w:sz w:val="18"/>
              </w:rPr>
              <w:t>Shared turns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seg_016 (brett)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brett / flusberg_brett_060819.cha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seg_017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1266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last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first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 of 8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seg_039 (carl)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carl / rollins_carl_030700.cha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seg_003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1017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last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first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 of 8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seg_011 (josh)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josh / rollins_josh_020800.cha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seg_010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1316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first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last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 of 8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seg_083 (mars)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mars / rollins_mars_030300.cha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seg_050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2065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last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first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 of 8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seg_004 (roger)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roger_rollins / rollins_roger_rollins_020800.cha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seg_005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181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last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first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 of 8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1465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6_fig1_turn_overl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46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9"/>
        </w:rPr>
        <w:t xml:space="preserve">Figure 1. </w:t>
      </w:r>
      <w:r>
        <w:rPr>
          <w:sz w:val="19"/>
        </w:rPr>
        <w:t>Each affected evaluation episode (top bar) and its matched main-batch episode (bottom bar), aligned on source turns. The only shared turn in each pair (orange) is the boundary utterance between adjacent episodes.</w:t>
      </w:r>
    </w:p>
    <w:p>
      <w:pPr>
        <w:keepNext/>
        <w:spacing w:before="120"/>
      </w:pPr>
      <w:r>
        <w:rPr>
          <w:b/>
          <w:sz w:val="19"/>
        </w:rPr>
        <w:t xml:space="preserve">Table 3. </w:t>
      </w:r>
      <w:r>
        <w:rPr>
          <w:sz w:val="19"/>
        </w:rPr>
        <w:t xml:space="preserve">Summary counts. Source: </w:t>
      </w:r>
      <w:r>
        <w:rPr>
          <w:rFonts w:ascii="Consolas" w:hAnsi="Consolas"/>
          <w:sz w:val="19"/>
        </w:rPr>
        <w:t>round6_analysis.json</w:t>
      </w:r>
      <w:r>
        <w:rPr>
          <w:sz w:val="19"/>
        </w:rPr>
        <w:t xml:space="preserve"> (turn_audit).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6048"/>
            <w:shd w:val="clear" w:color="auto" w:fill="E8EEF6"/>
          </w:tcPr>
          <w:p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3600"/>
            <w:shd w:val="clear" w:color="auto" w:fill="E8EEF6"/>
          </w:tcPr>
          <w:p>
            <w:r/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Evaluation episodes sharing ≥ 1 source turn with the 330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5 of 121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Distinct main-batch episodes involved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Distinct shared source turns (utterance lines)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Shared turns per affected evaluation episode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1 (each of 5)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Evaluation episodes remaining after excluding all turn-overlapping ones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116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Per child (affected episodes / shared turns)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brett 1/1; carl 1/1; josh 1/1; mars 1/1; roger_rollins 1/1; all other children 0/0</w:t>
            </w:r>
          </w:p>
        </w:tc>
      </w:tr>
    </w:tbl>
    <w:p>
      <w:pPr>
        <w:spacing w:after="0"/>
      </w:pPr>
    </w:p>
    <w:p>
      <w:pPr>
        <w:keepNext/>
        <w:spacing w:before="120"/>
      </w:pPr>
      <w:r>
        <w:rPr>
          <w:b/>
          <w:sz w:val="19"/>
        </w:rPr>
        <w:t xml:space="preserve">Table 4. </w:t>
      </w:r>
      <w:r>
        <w:rPr>
          <w:sz w:val="19"/>
        </w:rPr>
        <w:t xml:space="preserve">Sensitivity: central metrics on the 121 and on the 116 after excluding the 5 turn-overlapping episodes, % [95% child-cluster CI, 10,000 replicates]. 11 children remain. Nothing redrawn or replaced; reference labels unchanged. Source: </w:t>
      </w:r>
      <w:r>
        <w:rPr>
          <w:rFonts w:ascii="Consolas" w:hAnsi="Consolas"/>
          <w:sz w:val="19"/>
        </w:rPr>
        <w:t>round6_analysis.json</w:t>
      </w:r>
      <w:r>
        <w:rPr>
          <w:sz w:val="19"/>
        </w:rPr>
        <w:t xml:space="preserve"> (sensitivity).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rPr>
          <w:tblHeader w:val="true"/>
        </w:trPr>
        <w:tc>
          <w:tcPr>
            <w:tcW w:type="dxa" w:w="1152"/>
            <w:shd w:val="clear" w:color="auto" w:fill="E8EEF6"/>
          </w:tcPr>
          <w:p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1440"/>
            <w:shd w:val="clear" w:color="auto" w:fill="E8EEF6"/>
          </w:tcPr>
          <w:p>
            <w:r/>
            <w:r>
              <w:rPr>
                <w:b/>
                <w:sz w:val="18"/>
              </w:rPr>
              <w:t>Merged: 121</w:t>
            </w:r>
          </w:p>
        </w:tc>
        <w:tc>
          <w:tcPr>
            <w:tcW w:type="dxa" w:w="1440"/>
            <w:shd w:val="clear" w:color="auto" w:fill="E8EEF6"/>
          </w:tcPr>
          <w:p>
            <w:r/>
            <w:r>
              <w:rPr>
                <w:b/>
                <w:sz w:val="18"/>
              </w:rPr>
              <w:t>Merged: 116</w:t>
            </w:r>
          </w:p>
        </w:tc>
        <w:tc>
          <w:tcPr>
            <w:tcW w:type="dxa" w:w="1440"/>
            <w:shd w:val="clear" w:color="auto" w:fill="E8EEF6"/>
          </w:tcPr>
          <w:p>
            <w:r/>
            <w:r>
              <w:rPr>
                <w:b/>
                <w:sz w:val="18"/>
              </w:rPr>
              <w:t>Unsupp.: 121</w:t>
            </w:r>
          </w:p>
        </w:tc>
        <w:tc>
          <w:tcPr>
            <w:tcW w:type="dxa" w:w="1440"/>
            <w:shd w:val="clear" w:color="auto" w:fill="E8EEF6"/>
          </w:tcPr>
          <w:p>
            <w:r/>
            <w:r>
              <w:rPr>
                <w:b/>
                <w:sz w:val="18"/>
              </w:rPr>
              <w:t>Unsupp.: 116</w:t>
            </w:r>
          </w:p>
        </w:tc>
        <w:tc>
          <w:tcPr>
            <w:tcW w:type="dxa" w:w="1368"/>
            <w:shd w:val="clear" w:color="auto" w:fill="E8EEF6"/>
          </w:tcPr>
          <w:p>
            <w:r/>
            <w:r>
              <w:rPr>
                <w:b/>
                <w:sz w:val="18"/>
              </w:rPr>
              <w:t>Whole: 121</w:t>
            </w:r>
          </w:p>
        </w:tc>
        <w:tc>
          <w:tcPr>
            <w:tcW w:type="dxa" w:w="1368"/>
            <w:shd w:val="clear" w:color="auto" w:fill="E8EEF6"/>
          </w:tcPr>
          <w:p>
            <w:r/>
            <w:r>
              <w:rPr>
                <w:b/>
                <w:sz w:val="18"/>
              </w:rPr>
              <w:t>Whole: 116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llama3.2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27.5 [21.6, 32.6]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28.0 [22.2, 33.3]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83.0 [75.0, 91.7]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82.3 [73.8, 91.4]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0.0 [0.0, 0.0]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0.0 [0.0, 0.0]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qwen2.5:3b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12.6 [8.7, 17.2]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12.7 [8.9, 17.4]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24.5 [12.5, 36.8]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25.5 [13.7, 37.1]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0.0 [0.0, 0.0]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0.0 [0.0, 0.0]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qwen2.5:7b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40.5 [33.5, 47.2]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41.2 [34.1, 48.0]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50.9 [36.0, 74.2]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51.0 [35.3, 74.2]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5.0 [0.0, 10.7]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5.2 [0.0, 10.8]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qwen3:14b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41.3 [31.7, 50.4]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42.0 [32.5, 51.0]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90.6 [81.4, 97.8]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90.2 [81.0, 97.7]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4.1 [0.0, 11.0]</w:t>
            </w:r>
          </w:p>
        </w:tc>
        <w:tc>
          <w:tcPr>
            <w:tcW w:type="dxa" w:w="1368"/>
          </w:tcPr>
          <w:p>
            <w:r/>
            <w:r>
              <w:rPr>
                <w:sz w:val="18"/>
              </w:rPr>
              <w:t>4.3 [0.0, 11.2]</w:t>
            </w:r>
          </w:p>
        </w:tc>
      </w:tr>
    </w:tbl>
    <w:p>
      <w:pPr>
        <w:spacing w:after="0"/>
      </w:pPr>
    </w:p>
    <w:p>
      <w:pPr>
        <w:keepNext/>
        <w:spacing w:before="120"/>
      </w:pPr>
      <w:r>
        <w:rPr>
          <w:b/>
          <w:sz w:val="19"/>
        </w:rPr>
        <w:t xml:space="preserve">Table 5. </w:t>
      </w:r>
      <w:r>
        <w:rPr>
          <w:sz w:val="19"/>
        </w:rPr>
        <w:t xml:space="preserve">Paired difference qwen3:14b − qwen2.5:7b, percentage points [95% child-cluster CI]. Source: </w:t>
      </w:r>
      <w:r>
        <w:rPr>
          <w:rFonts w:ascii="Consolas" w:hAnsi="Consolas"/>
          <w:sz w:val="19"/>
        </w:rPr>
        <w:t>round6_analysis.json</w:t>
      </w:r>
      <w:r>
        <w:rPr>
          <w:sz w:val="19"/>
        </w:rPr>
        <w:t xml:space="preserve"> (sensitivity.*.paired_qwen3_14b_minus_qwen2_5_7b).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880"/>
            <w:shd w:val="clear" w:color="auto" w:fill="E8EEF6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3312"/>
            <w:shd w:val="clear" w:color="auto" w:fill="E8EEF6"/>
          </w:tcPr>
          <w:p>
            <w:r/>
            <w:r>
              <w:rPr>
                <w:b/>
                <w:sz w:val="18"/>
              </w:rPr>
              <w:t>121</w:t>
            </w:r>
          </w:p>
        </w:tc>
        <w:tc>
          <w:tcPr>
            <w:tcW w:type="dxa" w:w="3312"/>
            <w:shd w:val="clear" w:color="auto" w:fill="E8EEF6"/>
          </w:tcPr>
          <w:p>
            <w:r/>
            <w:r>
              <w:rPr>
                <w:b/>
                <w:sz w:val="18"/>
              </w:rPr>
              <w:t>116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Merged agreement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+0.8 [-2.6, +3.9]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+0.9 [-2.5, +3.9]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Unsupported assertion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+39.6 [+15.0, +53.8] *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+39.2 [+13.9, +54.3] 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Whole-record agreement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-0.8 [-3.5, +1.8]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-0.9 [-3.7, +1.9]</w:t>
            </w:r>
          </w:p>
        </w:tc>
      </w:tr>
    </w:tbl>
    <w:p>
      <w:pPr>
        <w:spacing w:after="0"/>
      </w:pPr>
    </w:p>
    <w:p>
      <w:r>
        <w:rPr/>
        <w:t>* interval excludes zero.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7782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6_fig2_sensi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78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9"/>
        </w:rPr>
        <w:t xml:space="preserve">Figure 2. </w:t>
      </w:r>
      <w:r>
        <w:rPr>
          <w:sz w:val="19"/>
        </w:rPr>
        <w:t>Central metrics on the 121 (filled, solid) and on the 116 after excluding turn-overlapping episodes (open, dashed).</w:t>
      </w:r>
    </w:p>
    <w:p>
      <w:pPr>
        <w:pStyle w:val="Heading3"/>
      </w:pPr>
      <w:r>
        <w:t>Artefacts</w:t>
      </w:r>
    </w:p>
    <w:p>
      <w:pPr>
        <w:pStyle w:val="ListBullet"/>
      </w:pPr>
      <w:r>
        <w:rPr/>
        <w:t xml:space="preserve">Script: </w:t>
      </w:r>
      <w:r>
        <w:rPr>
          <w:rFonts w:ascii="Consolas" w:hAnsi="Consolas"/>
          <w:sz w:val="18"/>
        </w:rPr>
        <w:t>tests/eval/extraction/round6_analysis.py</w:t>
      </w:r>
      <w:r>
        <w:rPr/>
        <w:t xml:space="preserve"> (reuses the round-4 pipeline rebuild and frame audit).</w:t>
      </w:r>
    </w:p>
    <w:p>
      <w:pPr>
        <w:pStyle w:val="ListBullet"/>
      </w:pPr>
      <w:r>
        <w:rPr/>
        <w:t xml:space="preserve">Output: </w:t>
      </w:r>
      <w:r>
        <w:rPr>
          <w:rFonts w:ascii="Consolas" w:hAnsi="Consolas"/>
          <w:sz w:val="18"/>
        </w:rPr>
        <w:t>tests/eval/extraction/results/round6_analysis.json</w:t>
      </w:r>
      <w:r>
        <w:rPr/>
        <w:t xml:space="preserve"> (turn_audit, sensitivity).</w:t>
      </w:r>
    </w:p>
    <w:p>
      <w:pPr>
        <w:pStyle w:val="ListBullet"/>
      </w:pPr>
      <w:r>
        <w:rPr/>
        <w:t xml:space="preserve">Inputs: </w:t>
      </w:r>
      <w:r>
        <w:rPr>
          <w:rFonts w:ascii="Consolas" w:hAnsi="Consolas"/>
          <w:sz w:val="18"/>
        </w:rPr>
        <w:t>holdout_set.json</w:t>
      </w:r>
      <w:r>
        <w:rPr/>
        <w:t xml:space="preserve">, </w:t>
      </w:r>
      <w:r>
        <w:rPr>
          <w:rFonts w:ascii="Consolas" w:hAnsi="Consolas"/>
          <w:sz w:val="18"/>
        </w:rPr>
        <w:t>annotation_pool.json</w:t>
      </w:r>
      <w:r>
        <w:rPr/>
        <w:t xml:space="preserve">, </w:t>
      </w:r>
      <w:r>
        <w:rPr>
          <w:rFonts w:ascii="Consolas" w:hAnsi="Consolas"/>
          <w:sz w:val="18"/>
        </w:rPr>
        <w:t>scored_against_gold_augmented.json</w:t>
      </w:r>
      <w:r>
        <w:rPr/>
        <w:t xml:space="preserve"> (330 IDs), </w:t>
      </w:r>
      <w:r>
        <w:rPr>
          <w:rFonts w:ascii="Consolas" w:hAnsi="Consolas"/>
          <w:sz w:val="18"/>
        </w:rPr>
        <w:t>scored_holdout.json</w:t>
      </w:r>
      <w:r>
        <w:rPr/>
        <w:t xml:space="preserve"> (scored outputs), CHAT sources in </w:t>
      </w:r>
      <w:r>
        <w:rPr>
          <w:rFonts w:ascii="Consolas" w:hAnsi="Consolas"/>
          <w:sz w:val="18"/>
        </w:rPr>
        <w:t>exp-data/</w:t>
      </w:r>
      <w:r>
        <w:rPr/>
        <w:t>.</w:t>
      </w:r>
    </w:p>
    <w:p>
      <w:r>
        <w:br w:type="page"/>
      </w:r>
    </w:p>
    <w:p>
      <w:pPr>
        <w:pStyle w:val="Heading1"/>
      </w:pPr>
      <w:r>
        <w:t>R6-3 – Reliability sensitivity on the overlap-excluded 121-set</w:t>
      </w:r>
    </w:p>
    <w:p>
      <w:pPr>
        <w:spacing w:before="160" w:after="40"/>
      </w:pPr>
      <w:r>
        <w:rPr>
          <w:b/>
          <w:color w:val="1F2933"/>
          <w:sz w:val="21"/>
        </w:rPr>
        <w:t>The request, as written</w:t>
      </w:r>
    </w:p>
    <w:p>
      <w:pPr>
        <w:spacing w:after="40"/>
        <w:ind w:left="240"/>
      </w:pPr>
      <w:r>
        <w:rPr>
          <w:b/>
          <w:color w:val="2A4E7A"/>
        </w:rPr>
        <w:t>Why the reviewer is asking</w:t>
      </w:r>
    </w:p>
    <w:p>
      <w:pPr>
        <w:spacing w:after="40"/>
        <w:ind w:left="240"/>
      </w:pPr>
      <w:r>
        <w:rPr>
          <w:color w:val="2A4E7A"/>
        </w:rPr>
        <w:t>The frozen 132-set is described as a first-pass evaluation annotation round with mean kappa 0.910. The stable-identity audit later showed that one of those 132 episodes also entered the 330 main batch. The reviewer therefore wants the reliability result recomputed after removing all 11 pool-overlapping episodes.</w:t>
      </w:r>
    </w:p>
    <w:p>
      <w:pPr>
        <w:spacing w:after="40"/>
        <w:ind w:left="240"/>
      </w:pPr>
      <w:r>
        <w:rPr>
          <w:b/>
          <w:color w:val="2A4E7A"/>
        </w:rPr>
        <w:t>Please compute from the existing annotator labels</w:t>
      </w:r>
    </w:p>
    <w:p>
      <w:pPr>
        <w:spacing w:after="40"/>
        <w:ind w:left="240"/>
      </w:pPr>
      <w:r>
        <w:rPr>
          <w:color w:val="2A4E7A"/>
        </w:rPr>
        <w:t>Using the existing pre-adjudication Annotator A and Annotator B labels for the post-audit overlap-excluded 121 evaluation episodes, compute Cohen's kappa separately for:</w:t>
      </w:r>
    </w:p>
    <w:p>
      <w:pPr>
        <w:spacing w:after="40"/>
        <w:ind w:left="480"/>
      </w:pPr>
      <w:r>
        <w:rPr>
          <w:color w:val="2A4E7A"/>
        </w:rPr>
        <w:t>• domain</w:t>
      </w:r>
    </w:p>
    <w:p>
      <w:pPr>
        <w:spacing w:after="40"/>
        <w:ind w:left="480"/>
      </w:pPr>
      <w:r>
        <w:rPr>
          <w:color w:val="2A4E7A"/>
        </w:rPr>
        <w:t>• modality</w:t>
      </w:r>
    </w:p>
    <w:p>
      <w:pPr>
        <w:spacing w:after="40"/>
        <w:ind w:left="480"/>
      </w:pPr>
      <w:r>
        <w:rPr>
          <w:color w:val="2A4E7A"/>
        </w:rPr>
        <w:t>• prompt_level</w:t>
      </w:r>
    </w:p>
    <w:p>
      <w:pPr>
        <w:spacing w:after="40"/>
        <w:ind w:left="480"/>
      </w:pPr>
      <w:r>
        <w:rPr>
          <w:color w:val="2A4E7A"/>
        </w:rPr>
        <w:t>• outcome</w:t>
      </w:r>
    </w:p>
    <w:p>
      <w:pPr>
        <w:spacing w:after="40"/>
        <w:ind w:left="240"/>
      </w:pPr>
      <w:r>
        <w:rPr>
          <w:color w:val="2A4E7A"/>
        </w:rPr>
        <w:t>Then report the unweighted mean of the four field-specific kappas, using the same definition used for the published 132-set mean.</w:t>
      </w:r>
    </w:p>
    <w:p>
      <w:pPr>
        <w:spacing w:after="40"/>
        <w:ind w:left="240"/>
      </w:pPr>
      <w:r>
        <w:rPr>
          <w:color w:val="2A4E7A"/>
        </w:rPr>
        <w:t>If the existing reliability script can produce the same 10,000-replicate child-cluster 95% confidence intervals without substantial new implementation, please include them. Please also show the original 132-set values beside the 121-set values so we can see whether the reliability interpretation materially changes.</w:t>
      </w:r>
    </w:p>
    <w:p>
      <w:pPr>
        <w:spacing w:after="40"/>
        <w:ind w:left="240"/>
      </w:pPr>
      <w:r>
        <w:rPr>
          <w:b/>
          <w:color w:val="2A4E7A"/>
        </w:rPr>
        <w:t>Preferred response format for R6-3</w:t>
      </w:r>
    </w:p>
    <w:p>
      <w:pPr>
        <w:spacing w:after="40"/>
        <w:ind w:left="480"/>
      </w:pPr>
      <w:r>
        <w:rPr>
          <w:color w:val="2A4E7A"/>
        </w:rPr>
        <w:t>• Table: field | 132-set kappa | 121-set kappa | 121-set 95% CI (if available).</w:t>
      </w:r>
    </w:p>
    <w:p>
      <w:pPr>
        <w:spacing w:after="40"/>
        <w:ind w:left="480"/>
      </w:pPr>
      <w:r>
        <w:rPr>
          <w:color w:val="2A4E7A"/>
        </w:rPr>
        <w:t>• Unweighted mean kappa for the 121-set.</w:t>
      </w:r>
    </w:p>
    <w:p>
      <w:pPr>
        <w:spacing w:after="40"/>
        <w:ind w:left="480"/>
      </w:pPr>
      <w:r>
        <w:rPr>
          <w:color w:val="2A4E7A"/>
        </w:rPr>
        <w:t>• One sentence stating whether the result is essentially unchanged, modestly changed, or materially changed relative to the 132-set.</w:t>
      </w:r>
    </w:p>
    <w:p>
      <w:pPr>
        <w:spacing w:after="40"/>
        <w:ind w:left="480"/>
      </w:pPr>
      <w:r>
        <w:rPr>
          <w:color w:val="2A4E7A"/>
        </w:rPr>
        <w:t>• Name of the label/artifact file and script/output used.</w:t>
      </w:r>
    </w:p>
    <w:p>
      <w:pPr>
        <w:pStyle w:val="Heading2"/>
      </w:pPr>
      <w:r>
        <w:t>Response</w:t>
      </w:r>
    </w:p>
    <w:p>
      <w:pPr>
        <w:spacing w:before="160" w:after="40"/>
      </w:pPr>
      <w:r>
        <w:rPr>
          <w:b/>
          <w:color w:val="1F2933"/>
          <w:sz w:val="21"/>
        </w:rPr>
        <w:t>Short answer</w:t>
      </w:r>
    </w:p>
    <w:p>
      <w:pPr>
        <w:ind w:left="200"/>
        <w:pBdr>
          <w:left w:val="single" w:sz="18" w:space="8" w:color="1BAF7A"/>
        </w:pBdr>
      </w:pPr>
      <w:r>
        <w:rPr>
          <w:b/>
        </w:rPr>
        <w:t>Mean kappa on the 121-set is 0.926, against 0.910 on the 132-set (+0.016). The result is essentially unchanged:</w:t>
      </w:r>
      <w:r>
        <w:rPr/>
        <w:t xml:space="preserve"> every field's kappa rises slightly (+0.003 to +0.028) and every 121-set value lies inside the 132-set 95% child-cluster interval.</w:t>
      </w:r>
    </w:p>
    <w:p>
      <w:pPr>
        <w:keepNext/>
        <w:spacing w:before="120"/>
      </w:pPr>
      <w:r>
        <w:rPr>
          <w:b/>
          <w:sz w:val="19"/>
        </w:rPr>
        <w:t xml:space="preserve">Table 6. </w:t>
      </w:r>
      <w:r>
        <w:rPr>
          <w:sz w:val="19"/>
        </w:rPr>
        <w:t xml:space="preserve">Cohen's kappa, pre-adjudication holdout annotators A vs B. 95% child-cluster percentile bootstrap, 10,000 replicates, seed 20260915 (as published). The mean is the unweighted mean of the four field kappas, the published definition; no interval is reported for it, as for the 132. Source: </w:t>
      </w:r>
      <w:r>
        <w:rPr>
          <w:rFonts w:ascii="Consolas" w:hAnsi="Consolas"/>
          <w:sz w:val="19"/>
        </w:rPr>
        <w:t>round6_analysis.json</w:t>
      </w:r>
      <w:r>
        <w:rPr>
          <w:sz w:val="19"/>
        </w:rPr>
        <w:t xml:space="preserve"> (reliability).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tblHeader w:val="true"/>
        </w:trPr>
        <w:tc>
          <w:tcPr>
            <w:tcW w:type="dxa" w:w="2016"/>
            <w:shd w:val="clear" w:color="auto" w:fill="E8EEF6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1152"/>
            <w:shd w:val="clear" w:color="auto" w:fill="E8EEF6"/>
          </w:tcPr>
          <w:p>
            <w:r/>
            <w:r>
              <w:rPr>
                <w:b/>
                <w:sz w:val="18"/>
              </w:rPr>
              <w:t>132-set κ</w:t>
            </w:r>
          </w:p>
        </w:tc>
        <w:tc>
          <w:tcPr>
            <w:tcW w:type="dxa" w:w="1728"/>
            <w:shd w:val="clear" w:color="auto" w:fill="E8EEF6"/>
          </w:tcPr>
          <w:p>
            <w:r/>
            <w:r>
              <w:rPr>
                <w:b/>
                <w:sz w:val="18"/>
              </w:rPr>
              <w:t>132-set 95% CI</w:t>
            </w:r>
          </w:p>
        </w:tc>
        <w:tc>
          <w:tcPr>
            <w:tcW w:type="dxa" w:w="1152"/>
            <w:shd w:val="clear" w:color="auto" w:fill="E8EEF6"/>
          </w:tcPr>
          <w:p>
            <w:r/>
            <w:r>
              <w:rPr>
                <w:b/>
                <w:sz w:val="18"/>
              </w:rPr>
              <w:t>121-set κ</w:t>
            </w:r>
          </w:p>
        </w:tc>
        <w:tc>
          <w:tcPr>
            <w:tcW w:type="dxa" w:w="1728"/>
            <w:shd w:val="clear" w:color="auto" w:fill="E8EEF6"/>
          </w:tcPr>
          <w:p>
            <w:r/>
            <w:r>
              <w:rPr>
                <w:b/>
                <w:sz w:val="18"/>
              </w:rPr>
              <w:t>121-set 95% CI</w:t>
            </w:r>
          </w:p>
        </w:tc>
        <w:tc>
          <w:tcPr>
            <w:tcW w:type="dxa" w:w="1296"/>
            <w:shd w:val="clear" w:color="auto" w:fill="E8EEF6"/>
          </w:tcPr>
          <w:p>
            <w:r/>
            <w:r>
              <w:rPr>
                <w:b/>
                <w:sz w:val="18"/>
              </w:rPr>
              <w:t>Δ (121 − 132)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domain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0.879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[0.806, 0.936]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0.900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[0.814, 0.963]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+0.021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modality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0.929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[0.822, 1.000]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0.932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[0.799, 1.000]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+0.003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prompt level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0.916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[0.820, 1.000]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0.944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[0.854, 1.000]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+0.028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outcome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0.914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[0.877, 0.950]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0.927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[0.894, 0.959]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+0.013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Unweighted mean of 4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0.910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0.926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+0.016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2425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6_fig3_kapp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42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9"/>
        </w:rPr>
        <w:t xml:space="preserve">Figure 3. </w:t>
      </w:r>
      <w:r>
        <w:rPr>
          <w:sz w:val="19"/>
        </w:rPr>
        <w:t>Field kappas with 95% child-cluster intervals on the 132 (grey) and the 121 (teal); diamonds are the unweighted means.</w:t>
      </w:r>
    </w:p>
    <w:p>
      <w:pPr>
        <w:pStyle w:val="ListBullet"/>
      </w:pPr>
      <w:r>
        <w:rPr>
          <w:b/>
        </w:rPr>
        <w:t>Check:</w:t>
      </w:r>
      <w:r>
        <w:rPr/>
        <w:t xml:space="preserve"> the same code applied to all 132 reproduces the recorded </w:t>
      </w:r>
      <w:r>
        <w:rPr>
          <w:rFonts w:ascii="Consolas" w:hAnsi="Consolas"/>
          <w:sz w:val="18"/>
        </w:rPr>
        <w:t>reliability_holdout.json</w:t>
      </w:r>
      <w:r>
        <w:rPr/>
        <w:t xml:space="preserve"> exactly (mean 0.9096, identical field kappas and intervals) before the 121 subset is taken.</w:t>
      </w:r>
    </w:p>
    <w:p>
      <w:pPr>
        <w:pStyle w:val="ListBullet"/>
      </w:pPr>
      <w:r>
        <w:rPr>
          <w:b/>
        </w:rPr>
        <w:t>Interval notes:</w:t>
      </w:r>
      <w:r>
        <w:rPr/>
        <w:t xml:space="preserve"> modality's child-cluster interval rests on 9,997 valid replicates (resamples with a single category leave kappa undefined and are dropped), as on the 132.</w:t>
      </w:r>
    </w:p>
    <w:p>
      <w:pPr>
        <w:pStyle w:val="ListBullet"/>
      </w:pPr>
      <w:r>
        <w:rPr>
          <w:b/>
        </w:rPr>
        <w:t>Labels:</w:t>
      </w:r>
      <w:r>
        <w:rPr/>
        <w:t xml:space="preserve"> </w:t>
      </w:r>
      <w:r>
        <w:rPr>
          <w:rFonts w:ascii="Consolas" w:hAnsi="Consolas"/>
          <w:sz w:val="18"/>
        </w:rPr>
        <w:t>gold_holdout_annotator_a.json</w:t>
      </w:r>
      <w:r>
        <w:rPr/>
        <w:t xml:space="preserve">, </w:t>
      </w:r>
      <w:r>
        <w:rPr>
          <w:rFonts w:ascii="Consolas" w:hAnsi="Consolas"/>
          <w:sz w:val="18"/>
        </w:rPr>
        <w:t>gold_holdout_annotator_b.json</w:t>
      </w:r>
      <w:r>
        <w:rPr/>
        <w:t xml:space="preserve"> (first-pass, pre-adjudication). Script: </w:t>
      </w:r>
      <w:r>
        <w:rPr>
          <w:rFonts w:ascii="Consolas" w:hAnsi="Consolas"/>
          <w:sz w:val="18"/>
        </w:rPr>
        <w:t>tests/eval/extraction/round6_analysis.py</w:t>
      </w:r>
      <w:r>
        <w:rPr/>
        <w:t xml:space="preserve">, which calls </w:t>
      </w:r>
      <w:r>
        <w:rPr>
          <w:rFonts w:ascii="Consolas" w:hAnsi="Consolas"/>
          <w:sz w:val="18"/>
        </w:rPr>
        <w:t>reliability_stats.build_report</w:t>
      </w:r>
      <w:r>
        <w:rPr/>
        <w:t xml:space="preserve">. Output: </w:t>
      </w:r>
      <w:r>
        <w:rPr>
          <w:rFonts w:ascii="Consolas" w:hAnsi="Consolas"/>
          <w:sz w:val="18"/>
        </w:rPr>
        <w:t>round6_analysis.json</w:t>
      </w:r>
      <w:r>
        <w:rPr/>
        <w:t xml:space="preserve"> (reliability.set_121).</w:t>
      </w:r>
    </w:p>
    <w:p>
      <w:r>
        <w:br w:type="page"/>
      </w:r>
    </w:p>
    <w:p>
      <w:pPr>
        <w:pStyle w:val="Heading1"/>
      </w:pPr>
      <w:r>
        <w:t>No architect action required for R6-2 and R6-4</w:t>
      </w:r>
    </w:p>
    <w:p>
      <w:pPr>
        <w:spacing w:before="160" w:after="40"/>
      </w:pPr>
      <w:r>
        <w:rPr>
          <w:b/>
          <w:color w:val="1F2933"/>
          <w:sz w:val="21"/>
        </w:rPr>
        <w:t>The request, as written</w:t>
      </w:r>
    </w:p>
    <w:p>
      <w:pPr>
        <w:spacing w:after="40"/>
        <w:ind w:left="240"/>
      </w:pPr>
      <w:r>
        <w:rPr>
          <w:color w:val="2A4E7A"/>
        </w:rPr>
        <w:t>R6-2 – Strongest-generator comparator is in-sample/data-selected. We already have the required facts. The manuscript will explicitly state that this comparator was selected using the same main-batch reference labels and is therefore an optimistic in-sample benchmark rather than an independently selected policy.</w:t>
      </w:r>
    </w:p>
    <w:p>
      <w:pPr>
        <w:spacing w:after="40"/>
        <w:ind w:left="240"/>
      </w:pPr>
      <w:r>
        <w:rPr>
          <w:color w:val="2A4E7A"/>
        </w:rPr>
        <w:t>R6-4 – 80.3% is full-policy coverage, not reranking coverage. This is a wording clarification only. The manuscript will distinguish the full MARS selector policy (80.3% returned a record) from the 142 segments that underwent a genuine usable reranking decision.</w:t>
      </w:r>
    </w:p>
    <w:p>
      <w:pPr>
        <w:pStyle w:val="Heading2"/>
      </w:pPr>
      <w:r>
        <w:t>Response</w:t>
      </w:r>
    </w:p>
    <w:p>
      <w:pPr>
        <w:spacing w:before="160" w:after="40"/>
      </w:pPr>
      <w:r>
        <w:rPr>
          <w:b/>
          <w:color w:val="1F2933"/>
          <w:sz w:val="21"/>
        </w:rPr>
        <w:t>Response</w:t>
      </w:r>
    </w:p>
    <w:p>
      <w:pPr>
        <w:ind w:left="200"/>
        <w:pBdr>
          <w:left w:val="single" w:sz="18" w:space="8" w:color="1BAF7A"/>
        </w:pBdr>
      </w:pPr>
      <w:r>
        <w:rPr/>
        <w:t>Noted. No code, model or annotation work was done for R6-2 or R6-4. The facts they rely on are already recorded in earlier rounds (</w:t>
      </w:r>
      <w:r>
        <w:rPr>
          <w:rFonts w:ascii="Consolas" w:hAnsi="Consolas"/>
          <w:sz w:val="18"/>
        </w:rPr>
        <w:t>round4_analysis.json</w:t>
      </w:r>
      <w:r>
        <w:rPr/>
        <w:t xml:space="preserve"> mars_clustered; </w:t>
      </w:r>
      <w:r>
        <w:rPr>
          <w:rFonts w:ascii="Consolas" w:hAnsi="Consolas"/>
          <w:sz w:val="18"/>
        </w:rPr>
        <w:t>mars_selection_analysis.json</w:t>
      </w:r>
      <w:r>
        <w:rPr/>
        <w:t>).</w:t>
      </w:r>
    </w:p>
    <w:p>
      <w:pPr>
        <w:pStyle w:val="Heading1"/>
      </w:pPr>
      <w:r>
        <w:t>How this document was produced</w:t>
      </w:r>
    </w:p>
    <w:p>
      <w:pPr>
        <w:ind w:left="280"/>
      </w:pPr>
      <w:r>
        <w:rPr>
          <w:rFonts w:ascii="Consolas" w:hAnsi="Consolas"/>
          <w:sz w:val="18"/>
        </w:rPr>
        <w:t>uv run python -m tests.eval.extraction.round6_analysis   # no model calls; needs exp-data/ locally</w:t>
        <w:br/>
      </w:r>
      <w:r>
        <w:rPr>
          <w:rFonts w:ascii="Consolas" w:hAnsi="Consolas"/>
          <w:sz w:val="18"/>
        </w:rPr>
        <w:t>uv run python docs/paper/make_round6_response.py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