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Governance-Aware Extraction of Structured Autism Observations: Annotation Reliability, Unsupported Inference, and Multi-Model Selection</w:t>
      </w:r>
    </w:p>
    <w:p>
      <w:r>
        <w:rPr>
          <w:i/>
          <w:color w:val="C1666B"/>
        </w:rPr>
        <w:t>WORKING DRAFT — NOT SUBMISSION READY. This document is assembled automatically from recorded evaluation artefacts for internal review. Ethics statements are incomplete, no frontier-model comparison has been run, and several system components are unevaluated. Sections that cannot be supported by measurement are listed under 'Not measured' rather than omitted.</w:t>
      </w:r>
    </w:p>
    <w:p>
      <w:r>
        <w:rPr>
          <w:i w:val="0"/>
        </w:rPr>
        <w:t>Generated from 47 recorded artefacts; every figure in this document is derived from data in this repository and no number is typed by hand.</w:t>
      </w:r>
    </w:p>
    <w:p>
      <w:pPr>
        <w:pStyle w:val="Heading1"/>
      </w:pPr>
      <w:r>
        <w:t>Abstract</w:t>
      </w:r>
    </w:p>
    <w:p>
      <w:r>
        <w:rPr>
          <w:i w:val="0"/>
        </w:rPr>
        <w:t>Background. Structured longitudinal records of autism intervention progress are difficult to assemble because contributor observations are heterogeneous natural language. Large language models can structure such text, but their use in a clinical monitoring pathway requires a reference standard and explicit governance.</w:t>
      </w:r>
    </w:p>
    <w:p>
      <w:r>
        <w:rPr>
          <w:i w:val="0"/>
        </w:rPr>
        <w:t>Methods. We derived 330 behavioural segments from two public ASDBank CHAT corpora (11 children, 85 sessions, 75,003 utterances). Two annotators independently authored structured field values from the transcripts. Analysis of their disagreements identified three underspecified field definitions; these were resolved in a written codebook and the affected segments were re-annotated blind, with an untreated control field retained to separate the effect of the codebook from that of re-annotation. Surviving conflicts were adjudicated by consensus. Three local generators were scored against the resulting gold standard, and a multi-judge reranking stage (MARS) was evaluated against both a random-selection and a best-generator baseline.</w:t>
      </w:r>
    </w:p>
    <w:p>
      <w:r>
        <w:rPr>
          <w:i w:val="0"/>
        </w:rPr>
        <w:t>Results. Mean Cohen's kappa rose from 0.610 to 0.801 across the four categorical fields. The three fields the codebook addressed improved by +0.29 to +0.48 with paired intervals excluding zero, while the untreated control field did not move (−0.041, interval spanning zero). All 330 segments entered the gold standard. The strongest generator produced a fully correct record on 4.5% of segments against an oracle ceiling of 6.1%. Where the gold standard records no supporting evidence for a field, generators asserted a value on up to 97% of opportunities. A larger, more recent generator added afterwards was no more accurate and had the highest unsupported-assertion rate of any model tested; across the roster, unsupported assertion tracked willingness to answer rather than capability. Reranking selected better than chance but did not improve on always using the strongest generator.</w:t>
      </w:r>
    </w:p>
    <w:p>
      <w:r>
        <w:rPr>
          <w:i w:val="0"/>
        </w:rPr>
        <w:t>Conclusions. Low inter-annotator agreement in this task was largely definitional rather than a matter of annotator inconsistency, and was measurably repaired by a written codebook under a controlled design. The generators evaluated are not adequate for the extraction task, and the failure is not attributable to model size: the largest model tested had the highest unsupported-assertion rate despite accuracy comparable to the strongest smaller model. Candidate selection cannot compensate for candidate quality.</w:t>
      </w:r>
    </w:p>
    <w:p>
      <w:r>
        <w:br w:type="page"/>
      </w:r>
    </w:p>
    <w:p>
      <w:pPr>
        <w:pStyle w:val="Heading1"/>
      </w:pPr>
      <w:r>
        <w:t>Introduction</w:t>
      </w:r>
    </w:p>
    <w:p>
      <w:r>
        <w:rPr>
          <w:i w:val="0"/>
        </w:rPr>
        <w:t>Interventionists working with autistic children depend on observations contributed by parents, teachers and support staff. Those observations arrive as unstructured natural language, in heterogeneous formats, from contributors with different vocabularies and different levels of training. Reviewing them longitudinally against a defined goal is correspondingly difficult, and the difficulty grows with the length of the intervention.</w:t>
      </w:r>
    </w:p>
    <w:p>
      <w:r>
        <w:rPr>
          <w:i w:val="0"/>
        </w:rPr>
        <w:t>Large language models can convert such text into structured records, and this is an attractive application: the task is well defined, the volume is high, and the clinician's time is the scarce resource. But the same capability that structures an observation can also create one. A model asked for a prompt level will supply a prompt level, whether or not the source text supports one, and a structured record containing an unsupported clinical field is more dangerous than no record at all: it is downstream-readable, it aggregates into analytics, and nothing in its form marks it as invented.</w:t>
      </w:r>
    </w:p>
    <w:p>
      <w:r>
        <w:rPr>
          <w:i w:val="0"/>
        </w:rPr>
        <w:t>Evaluating whether a model does this requires a human reference standard that records not only what the text supports but also what it does not. That requirement exposes a second problem. Annotation rules for behavioural constructs are themselves unstable: two trained annotators reading the same transcript may apply a field definition differently, and their disagreement is easily mistaken for annotator inconsistency when it is in fact an underspecified scheme. A reference standard built on an unstable scheme cannot support conclusions about a model.</w:t>
      </w:r>
    </w:p>
    <w:p>
      <w:r>
        <w:rPr>
          <w:i w:val="0"/>
        </w:rPr>
        <w:t>A third question follows from the first two. Where several models extract from the same text and disagree, a selection mechanism might recover the better candidate. Whether it does, and whether selection can compensate for weak candidates at all, is an empirical question that has been little examined in clinical extraction settings.</w:t>
      </w:r>
    </w:p>
    <w:p>
      <w:r>
        <w:rPr>
          <w:i w:val="0"/>
        </w:rPr>
        <w:t>This study addresses all three. We construct an adjudicated gold standard over behavioural segments from two public autism corpora, treating the instability of the annotation scheme as an object of measurement rather than a nuisance; we quantify how often local extraction models assert field values the source text does not support; and we evaluate a multi-judge reranking stage against both a no-judgement and a best-single-model baseline. The contribution is the evaluation process and what it exposes, not a system that performs well: it exposes failure at the annotation layer and at the extraction layer, and reports both.</w:t>
      </w:r>
    </w:p>
    <w:p>
      <w:r>
        <w:br w:type="page"/>
      </w:r>
    </w:p>
    <w:p>
      <w:pPr>
        <w:pStyle w:val="Heading1"/>
      </w:pPr>
      <w:r>
        <w:t>Methods</w:t>
      </w:r>
    </w:p>
    <w:p>
      <w:pPr>
        <w:pStyle w:val="Heading2"/>
      </w:pPr>
      <w:r>
        <w:t>Corpus and batch construction</w:t>
      </w:r>
    </w:p>
    <w:p>
      <w:r>
        <w:rPr>
          <w:i w:val="0"/>
        </w:rPr>
        <w:t>Behavioural segments were derived from the Rollins (child-investigator) and Flusberg (child-parent) ASDBank CHAT corpora: 11 children, 85 sessions, 75,003 utterances. After parsing, de-identification and episode segmentation, 2,442 behavioural segments were available, 162 to 273 per child.</w:t>
      </w:r>
    </w:p>
    <w:p>
      <w:pPr>
        <w:jc w:val="center"/>
      </w:pPr>
      <w:r>
        <w:drawing>
          <wp:inline xmlns:a="http://schemas.openxmlformats.org/drawingml/2006/main" xmlns:pic="http://schemas.openxmlformats.org/drawingml/2006/picture">
            <wp:extent cx="5760720" cy="2688336"/>
            <wp:docPr id="1" name="Picture 1"/>
            <wp:cNvGraphicFramePr>
              <a:graphicFrameLocks noChangeAspect="1"/>
            </wp:cNvGraphicFramePr>
            <a:graphic>
              <a:graphicData uri="http://schemas.openxmlformats.org/drawingml/2006/picture">
                <pic:pic>
                  <pic:nvPicPr>
                    <pic:cNvPr id="0" name="fig1_corpus.png"/>
                    <pic:cNvPicPr/>
                  </pic:nvPicPr>
                  <pic:blipFill>
                    <a:blip r:embed="rId9"/>
                    <a:stretch>
                      <a:fillRect/>
                    </a:stretch>
                  </pic:blipFill>
                  <pic:spPr>
                    <a:xfrm>
                      <a:off x="0" y="0"/>
                      <a:ext cx="5760720" cy="2688336"/>
                    </a:xfrm>
                    <a:prstGeom prst="rect"/>
                  </pic:spPr>
                </pic:pic>
              </a:graphicData>
            </a:graphic>
          </wp:inline>
        </w:drawing>
      </w:r>
    </w:p>
    <w:p>
      <w:pPr>
        <w:jc w:val="center"/>
      </w:pPr>
      <w:r>
        <w:rPr>
          <w:i/>
          <w:color w:val="7B8994"/>
          <w:sz w:val="18"/>
        </w:rPr>
        <w:t>Figure 1. Corpus composition: behavioural segments per child, by source corpus.</w:t>
      </w:r>
    </w:p>
    <w:p>
      <w:r>
        <w:rPr>
          <w:i w:val="0"/>
        </w:rPr>
        <w:t>The annotation batch was built in three stages, of which only candidate generation calls models: a stratified pool of 120 segments per child; three local generators extracting from every pooled segment; and retention only of segments where all three produced an admissible response. Two admission predicates are distinguished — the MARS runtime gate (SUCCESS or PARTIAL) and the wider 'judgeable' policy the batch was built under — because admitting only the former would retain the segments each model found easy.</w:t>
      </w:r>
    </w:p>
    <w:p>
      <w:pPr>
        <w:jc w:val="center"/>
      </w:pPr>
      <w:r>
        <w:drawing>
          <wp:inline xmlns:a="http://schemas.openxmlformats.org/drawingml/2006/main" xmlns:pic="http://schemas.openxmlformats.org/drawingml/2006/picture">
            <wp:extent cx="5760720" cy="2248702"/>
            <wp:docPr id="2" name="Picture 2"/>
            <wp:cNvGraphicFramePr>
              <a:graphicFrameLocks noChangeAspect="1"/>
            </wp:cNvGraphicFramePr>
            <a:graphic>
              <a:graphicData uri="http://schemas.openxmlformats.org/drawingml/2006/picture">
                <pic:pic>
                  <pic:nvPicPr>
                    <pic:cNvPr id="0" name="fig2_admission.png"/>
                    <pic:cNvPicPr/>
                  </pic:nvPicPr>
                  <pic:blipFill>
                    <a:blip r:embed="rId10"/>
                    <a:stretch>
                      <a:fillRect/>
                    </a:stretch>
                  </pic:blipFill>
                  <pic:spPr>
                    <a:xfrm>
                      <a:off x="0" y="0"/>
                      <a:ext cx="5760720" cy="2248702"/>
                    </a:xfrm>
                    <a:prstGeom prst="rect"/>
                  </pic:spPr>
                </pic:pic>
              </a:graphicData>
            </a:graphic>
          </wp:inline>
        </w:drawing>
      </w:r>
    </w:p>
    <w:p>
      <w:pPr>
        <w:jc w:val="center"/>
      </w:pPr>
      <w:r>
        <w:rPr>
          <w:i/>
          <w:color w:val="7B8994"/>
          <w:sz w:val="18"/>
        </w:rPr>
        <w:t>Figure 2. Admission policy: the two predicates and what each retains.</w:t>
      </w:r>
    </w:p>
    <w:p>
      <w:pPr>
        <w:jc w:val="center"/>
      </w:pPr>
      <w:r>
        <w:drawing>
          <wp:inline xmlns:a="http://schemas.openxmlformats.org/drawingml/2006/main" xmlns:pic="http://schemas.openxmlformats.org/drawingml/2006/picture">
            <wp:extent cx="5760720" cy="2364927"/>
            <wp:docPr id="3" name="Picture 3"/>
            <wp:cNvGraphicFramePr>
              <a:graphicFrameLocks noChangeAspect="1"/>
            </wp:cNvGraphicFramePr>
            <a:graphic>
              <a:graphicData uri="http://schemas.openxmlformats.org/drawingml/2006/picture">
                <pic:pic>
                  <pic:nvPicPr>
                    <pic:cNvPr id="0" name="fig3_joint_yield.png"/>
                    <pic:cNvPicPr/>
                  </pic:nvPicPr>
                  <pic:blipFill>
                    <a:blip r:embed="rId11"/>
                    <a:stretch>
                      <a:fillRect/>
                    </a:stretch>
                  </pic:blipFill>
                  <pic:spPr>
                    <a:xfrm>
                      <a:off x="0" y="0"/>
                      <a:ext cx="5760720" cy="2364927"/>
                    </a:xfrm>
                    <a:prstGeom prst="rect"/>
                  </pic:spPr>
                </pic:pic>
              </a:graphicData>
            </a:graphic>
          </wp:inline>
        </w:drawing>
      </w:r>
    </w:p>
    <w:p>
      <w:pPr>
        <w:jc w:val="center"/>
      </w:pPr>
      <w:r>
        <w:rPr>
          <w:i/>
          <w:color w:val="7B8994"/>
          <w:sz w:val="18"/>
        </w:rPr>
        <w:t>Figure 3. Joint yield under a require-all policy. A 60-segment pilot projected 519 segments would be consumed to reach 330; the realised run consumed 506.</w:t>
      </w:r>
    </w:p>
    <w:p>
      <w:r>
        <w:rPr>
          <w:i w:val="0"/>
        </w:rPr>
        <w:t>The batch is frozen at this point and is not regenerated. Generators are replayed from it wherever they are needed downstream, so MARS selects from exactly the candidates the annotators saw.</w:t>
      </w:r>
    </w:p>
    <w:p>
      <w:r>
        <w:rPr>
          <w:i w:val="0"/>
        </w:rPr>
        <w:t>Stage 3 conditions membership on model behaviour, and this is the principal threat to external validity in the study. Requiring all three generators to have produced an admissible response is what gives every batch item a complete candidate set, without which the three-way comparison and the oracle ceiling are not defined. The cost is that accuracy measured on the batch is accuracy on segments every model could at least attempt. Whether it generalises to an unselected sample is not answered by this batch and is addressed below.</w:t>
      </w:r>
    </w:p>
    <w:p>
      <w:pPr>
        <w:pStyle w:val="Heading2"/>
      </w:pPr>
      <w:r>
        <w:t>Model-independent held-out set</w:t>
      </w:r>
    </w:p>
    <w:p>
      <w:r>
        <w:rPr>
          <w:i w:val="0"/>
        </w:rPr>
        <w:t>To separate extraction performance from the batch's selection criterion, a second set was drawn without reference to any model's behaviour: 132 segments, 12 per child across all 11 children, stratified and frozen before any generator was run over it.</w:t>
      </w:r>
    </w:p>
    <w:p>
      <w:r>
        <w:rPr>
          <w:i w:val="0"/>
        </w:rPr>
        <w:t>The exclusion rule is deliberately stricter than removing the 330 annotated segments. The entire original stratified pool of 1,320 is excluded, because batch construction consumed 506 pool segments to retain 330 and no record survives of which 176 were rejected. Sampling the pool remainder would therefore have enriched the set with segments a generator had already failed on — conditioning in the opposite direction, and harder to argue away than the original. The held-out set is drawn from the 2,051 segments outside the pool entirely.</w:t>
      </w:r>
    </w:p>
    <w:p>
      <w:r>
        <w:rPr>
          <w:i w:val="0"/>
        </w:rPr>
        <w:t>Two rules govern its use. Generators are run only after the annotation is complete, because a set inspected for model performance before it is annotated is not held out. And a model that produces no admissible response is recorded as an abstention, with the segment retained — dropping it would reintroduce exactly the conditioning the set exists to avoid.</w:t>
      </w:r>
    </w:p>
    <w:p>
      <w:r>
        <w:rPr>
          <w:i w:val="0"/>
        </w:rPr>
        <w:t>The same round supplies a second quantity. Both annotators work from the final codebook from the first segment rather than reaching it after a round of disagreement, so the agreement obtained is a first-pass kappa under the final protocol rather than a within-annotator repeat. That is the comparison the two-round result cannot supply about itself, and it tests whether the codebook generalises beyond the disagreements it was written from.</w:t>
      </w:r>
    </w:p>
    <w:p>
      <w:r>
        <w:rPr>
          <w:i w:val="0"/>
          <w:color w:val="C1666B"/>
        </w:rPr>
        <w:t>[PENDING] The held-out set is frozen; annotation and generator runs over it are not complete, and no result from it is reported here.</w:t>
      </w:r>
    </w:p>
    <w:p>
      <w:pPr>
        <w:jc w:val="center"/>
      </w:pPr>
      <w:r>
        <w:drawing>
          <wp:inline xmlns:a="http://schemas.openxmlformats.org/drawingml/2006/main" xmlns:pic="http://schemas.openxmlformats.org/drawingml/2006/picture">
            <wp:extent cx="4937760" cy="3135911"/>
            <wp:docPr id="4" name="Picture 4"/>
            <wp:cNvGraphicFramePr>
              <a:graphicFrameLocks noChangeAspect="1"/>
            </wp:cNvGraphicFramePr>
            <a:graphic>
              <a:graphicData uri="http://schemas.openxmlformats.org/drawingml/2006/picture">
                <pic:pic>
                  <pic:nvPicPr>
                    <pic:cNvPr id="0" name="fig5_pipeline.png"/>
                    <pic:cNvPicPr/>
                  </pic:nvPicPr>
                  <pic:blipFill>
                    <a:blip r:embed="rId12"/>
                    <a:stretch>
                      <a:fillRect/>
                    </a:stretch>
                  </pic:blipFill>
                  <pic:spPr>
                    <a:xfrm>
                      <a:off x="0" y="0"/>
                      <a:ext cx="4937760" cy="3135911"/>
                    </a:xfrm>
                    <a:prstGeom prst="rect"/>
                  </pic:spPr>
                </pic:pic>
              </a:graphicData>
            </a:graphic>
          </wp:inline>
        </w:drawing>
      </w:r>
    </w:p>
    <w:p>
      <w:pPr>
        <w:jc w:val="center"/>
      </w:pPr>
      <w:r>
        <w:rPr>
          <w:i/>
          <w:color w:val="7B8994"/>
          <w:sz w:val="18"/>
        </w:rPr>
        <w:t>Figure 4. MARS control flow: models propose and rank, deterministic code decides, and each abstention carries a typed reason code.</w:t>
      </w:r>
    </w:p>
    <w:p>
      <w:pPr>
        <w:pStyle w:val="Heading2"/>
      </w:pPr>
      <w:r>
        <w:t>Reliability statistics</w:t>
      </w:r>
    </w:p>
    <w:p>
      <w:r>
        <w:rPr>
          <w:i w:val="0"/>
        </w:rPr>
        <w:t>Cohen's kappa is computed per field over the value categories, with explicit nulls treated as a category rather than as missing data:</w:t>
      </w:r>
    </w:p>
    <w:p>
      <w:r>
        <w:rPr>
          <w:rFonts w:ascii="Consolas" w:hAnsi="Consolas"/>
          <w:sz w:val="18"/>
        </w:rPr>
        <w:t>kappa = (p_o - p_e) / (1 - p_e)</w:t>
      </w:r>
    </w:p>
    <w:p>
      <w:r>
        <w:rPr>
          <w:i w:val="0"/>
        </w:rPr>
        <w:t>Kappa is not pooled across fields by concatenating labels. The fields draw on different category sets and share literal labels — 'verbal' and 'gestural' occur in both the modality and prompt-level vocabularies — so a pooled confusion matrix would chance-correct against a distribution no annotator drew from. Pooling the four fields in this study gives 0.694 against a mean per-field kappa of 0.610, an inflation of 0.084 that is an artefact of the pooled category count.</w:t>
      </w:r>
    </w:p>
    <w:p>
      <w:r>
        <w:rPr>
          <w:i w:val="0"/>
        </w:rPr>
        <w:t>Kappa is bounded above by the annotators' marginal distributions. Where one annotator uses a category the other never uses, those items cannot agree at any level of care:</w:t>
      </w:r>
    </w:p>
    <w:p>
      <w:r>
        <w:rPr>
          <w:rFonts w:ascii="Consolas" w:hAnsi="Consolas"/>
          <w:sz w:val="18"/>
        </w:rPr>
        <w:t>p_o_max   = sum_i min(p_i., p_.i)</w:t>
        <w:br/>
        <w:t>kappa_max = (p_o_max - p_e) / (1 - p_e)</w:t>
        <w:br/>
        <w:t>forced disagreements = n (1 - p_o_max)</w:t>
      </w:r>
    </w:p>
    <w:p>
      <w:r>
        <w:rPr>
          <w:i w:val="0"/>
        </w:rPr>
        <w:t>Segments are nested within children: the 330 segments come from 11 children, 30 each, across multiple sessions. Two segments from one child share that child's language, the partner's style and the session's activity, and are not independent draws. Intervals are therefore obtained by resampling **children** with replacement, each drawn child contributing all of its segments. With 11 clusters this is a small number to resample and the intervals are correspondingly wide; that width is information about the design rather than a defect of the estimator. Segment-level intervals are retained throughout as a sensitivity analysis and are reported alongside. Every conclusion in this paper holds under both.</w:t>
      </w:r>
    </w:p>
    <w:p>
      <w:r>
        <w:rPr>
          <w:i w:val="0"/>
        </w:rPr>
        <w:t>Reporting kappa alongside kappa_max separates a definitional problem — a low kappa close to its ceiling — from a judgement problem, a low kappa far below it. Intervals are 10,000-replicate percentile bootstraps resampling segments; the Fleiss-Cohen-Everitt large-sample variance is computed alongside as a cross-check and agreed to within 0.005 on every bound of every field.</w:t>
      </w:r>
    </w:p>
    <w:p>
      <w:pPr>
        <w:pStyle w:val="Heading2"/>
      </w:pPr>
      <w:r>
        <w:t>Two-round protocol and the control field</w:t>
      </w:r>
    </w:p>
    <w:p>
      <w:r>
        <w:rPr>
          <w:i w:val="0"/>
        </w:rPr>
        <w:t>Three field definitions were identified as underspecified: whether gestural modality covers physical manipulation or only communicative gesture; whether correct/incorrect apply absent an identifiable target; and whether an adult utterance preceding a child response is a prompt or the antecedent that creates the opportunity. These were resolved in a written codebook and the affected segments re-issued blind, in a fresh order, with all five fields re-annotated.</w:t>
      </w:r>
    </w:p>
    <w:p>
      <w:r>
        <w:rPr>
          <w:i w:val="0"/>
        </w:rPr>
        <w:t>The comparison was specified before round 2 existed. Domain is re-annotated alongside every other field but no codebook rule touches it, so it carries the same practice and regression effects and none of the instruction. It is the control.</w:t>
      </w:r>
    </w:p>
    <w:p>
      <w:pPr>
        <w:jc w:val="center"/>
      </w:pPr>
      <w:r>
        <w:drawing>
          <wp:inline xmlns:a="http://schemas.openxmlformats.org/drawingml/2006/main" xmlns:pic="http://schemas.openxmlformats.org/drawingml/2006/picture">
            <wp:extent cx="5760720" cy="2603159"/>
            <wp:docPr id="5" name="Picture 5"/>
            <wp:cNvGraphicFramePr>
              <a:graphicFrameLocks noChangeAspect="1"/>
            </wp:cNvGraphicFramePr>
            <a:graphic>
              <a:graphicData uri="http://schemas.openxmlformats.org/drawingml/2006/picture">
                <pic:pic>
                  <pic:nvPicPr>
                    <pic:cNvPr id="0" name="fig15_codebook_rules.png"/>
                    <pic:cNvPicPr/>
                  </pic:nvPicPr>
                  <pic:blipFill>
                    <a:blip r:embed="rId13"/>
                    <a:stretch>
                      <a:fillRect/>
                    </a:stretch>
                  </pic:blipFill>
                  <pic:spPr>
                    <a:xfrm>
                      <a:off x="0" y="0"/>
                      <a:ext cx="5760720" cy="2603159"/>
                    </a:xfrm>
                    <a:prstGeom prst="rect"/>
                  </pic:spPr>
                </pic:pic>
              </a:graphicData>
            </a:graphic>
          </wp:inline>
        </w:drawing>
      </w:r>
    </w:p>
    <w:p>
      <w:pPr>
        <w:jc w:val="center"/>
      </w:pPr>
      <w:r>
        <w:rPr>
          <w:i/>
          <w:color w:val="7B8994"/>
          <w:sz w:val="18"/>
        </w:rPr>
        <w:t>Figure 5. The three codebook rules, as the decision tests an annotator applies.</w:t>
      </w:r>
    </w:p>
    <w:p>
      <w:pPr>
        <w:jc w:val="center"/>
      </w:pPr>
      <w:r>
        <w:drawing>
          <wp:inline xmlns:a="http://schemas.openxmlformats.org/drawingml/2006/main" xmlns:pic="http://schemas.openxmlformats.org/drawingml/2006/picture">
            <wp:extent cx="5120640" cy="4399846"/>
            <wp:docPr id="6" name="Picture 6"/>
            <wp:cNvGraphicFramePr>
              <a:graphicFrameLocks noChangeAspect="1"/>
            </wp:cNvGraphicFramePr>
            <a:graphic>
              <a:graphicData uri="http://schemas.openxmlformats.org/drawingml/2006/picture">
                <pic:pic>
                  <pic:nvPicPr>
                    <pic:cNvPr id="0" name="fig14_protocol.png"/>
                    <pic:cNvPicPr/>
                  </pic:nvPicPr>
                  <pic:blipFill>
                    <a:blip r:embed="rId14"/>
                    <a:stretch>
                      <a:fillRect/>
                    </a:stretch>
                  </pic:blipFill>
                  <pic:spPr>
                    <a:xfrm>
                      <a:off x="0" y="0"/>
                      <a:ext cx="5120640" cy="4399846"/>
                    </a:xfrm>
                    <a:prstGeom prst="rect"/>
                  </pic:spPr>
                </pic:pic>
              </a:graphicData>
            </a:graphic>
          </wp:inline>
        </w:drawing>
      </w:r>
    </w:p>
    <w:p>
      <w:pPr>
        <w:jc w:val="center"/>
      </w:pPr>
      <w:r>
        <w:rPr>
          <w:i/>
          <w:color w:val="7B8994"/>
          <w:sz w:val="18"/>
        </w:rPr>
        <w:t>Figure 6. Two-round annotation protocol with realised counts; every segment is accounted for where it leaves.</w:t>
      </w:r>
    </w:p>
    <w:p>
      <w:pPr>
        <w:pStyle w:val="Heading2"/>
      </w:pPr>
      <w:r>
        <w:t>Ethical considerations</w:t>
      </w:r>
    </w:p>
    <w:p>
      <w:r>
        <w:rPr>
          <w:i w:val="0"/>
        </w:rPr>
        <w:t>All source data is archival, publicly deposited, and was collected by third parties: the ASDBank English Rollins Corpus (doi:10.21415/T5KK53) and the ASDBank English Flusberg Corpus (doi:10.21415/T5459F), both components of ASDBank within TalkBank. No data was collected from human participants for this work, no participants were recruited or contacted, and no clinical care was delivered, influenced or withheld on the basis of any system output. The system was not deployed in any care setting and no interventionist used it during the work reported here.</w:t>
      </w:r>
    </w:p>
    <w:p>
      <w:r>
        <w:rPr>
          <w:i w:val="0"/>
        </w:rPr>
        <w:t>Transcripts pass through a de-identification stage before any model sees them, replacing participant names, street addresses, numeric dates, national identifiers and telephone numbers with bracketed placeholders across utterance text and every dependent tier. The stage is roster- and header-driven rather than named-entity recognition, and it over-redacts: each of the ten child pseudonyms is also an ordinary English word, so 82 [NAME] placeholders appear across 62 of the 330 annotated segments and some are redacted common words. Child identifiers throughout are the pseudonymous labels carried by the public corpora.</w:t>
      </w:r>
    </w:p>
    <w:p>
      <w:r>
        <w:rPr>
          <w:i w:val="0"/>
          <w:color w:val="C1666B"/>
        </w:rPr>
        <w:t>[TO COMPLETE BEFORE SUBMISSION] A determination request has been submitted to the Institutional Review Board at the University of Texas at Austin; the determination had not been returned at the time of writing. The expected form is an exemption or a non-human-subjects research determination on the grounds that the work analyses existing, publicly available, de-identified records. This section must state the determination as issued, with institution, determination wording, and protocol number, before submission. The licence terms of both corpora and the scope of depositor consent for secondary computational analysis must also be confirmed and stated.</w:t>
      </w:r>
    </w:p>
    <w:p>
      <w:r>
        <w:br w:type="page"/>
      </w:r>
    </w:p>
    <w:p>
      <w:pPr>
        <w:pStyle w:val="Heading1"/>
      </w:pPr>
      <w:r>
        <w:t>Results</w:t>
      </w:r>
    </w:p>
    <w:p>
      <w:pPr>
        <w:pStyle w:val="Heading2"/>
      </w:pPr>
      <w:r>
        <w:t>Annotation reliability</w:t>
      </w:r>
    </w:p>
    <w:p>
      <w:r>
        <w:rPr>
          <w:b/>
          <w:sz w:val="19"/>
        </w:rPr>
        <w:t>Table 1. Round-1 reliability and the ceiling the marginals allow (n = 330 segments from 11 children). The reported interval resamples children; the segment-level interval is the sensitivity analysis.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Field</w:t>
            </w:r>
          </w:p>
        </w:tc>
        <w:tc>
          <w:tcPr>
            <w:tcW w:type="dxa" w:w="1440"/>
          </w:tcPr>
          <w:p>
            <w:r>
              <w:rPr>
                <w:b/>
                <w:sz w:val="18"/>
              </w:rPr>
              <w:t>kappa</w:t>
            </w:r>
          </w:p>
        </w:tc>
        <w:tc>
          <w:tcPr>
            <w:tcW w:type="dxa" w:w="1440"/>
          </w:tcPr>
          <w:p>
            <w:r>
              <w:rPr>
                <w:b/>
                <w:sz w:val="18"/>
              </w:rPr>
              <w:t>95% CI (children)</w:t>
            </w:r>
          </w:p>
        </w:tc>
        <w:tc>
          <w:tcPr>
            <w:tcW w:type="dxa" w:w="1440"/>
          </w:tcPr>
          <w:p>
            <w:r>
              <w:rPr>
                <w:b/>
                <w:sz w:val="18"/>
              </w:rPr>
              <w:t>95% CI (segments)</w:t>
            </w:r>
          </w:p>
        </w:tc>
        <w:tc>
          <w:tcPr>
            <w:tcW w:type="dxa" w:w="1440"/>
          </w:tcPr>
          <w:p>
            <w:r>
              <w:rPr>
                <w:b/>
                <w:sz w:val="18"/>
              </w:rPr>
              <w:t>kappa_max</w:t>
            </w:r>
          </w:p>
        </w:tc>
        <w:tc>
          <w:tcPr>
            <w:tcW w:type="dxa" w:w="1440"/>
          </w:tcPr>
          <w:p>
            <w:r>
              <w:rPr>
                <w:b/>
                <w:sz w:val="18"/>
              </w:rPr>
              <w:t>kappa / kappa_max</w:t>
            </w:r>
          </w:p>
        </w:tc>
      </w:tr>
      <w:tr>
        <w:tc>
          <w:tcPr>
            <w:tcW w:type="dxa" w:w="1440"/>
          </w:tcPr>
          <w:p>
            <w:r>
              <w:rPr>
                <w:sz w:val="18"/>
              </w:rPr>
              <w:t>domain</w:t>
            </w:r>
          </w:p>
        </w:tc>
        <w:tc>
          <w:tcPr>
            <w:tcW w:type="dxa" w:w="1440"/>
          </w:tcPr>
          <w:p>
            <w:r>
              <w:rPr>
                <w:sz w:val="18"/>
              </w:rPr>
              <w:t>0.751</w:t>
            </w:r>
          </w:p>
        </w:tc>
        <w:tc>
          <w:tcPr>
            <w:tcW w:type="dxa" w:w="1440"/>
          </w:tcPr>
          <w:p>
            <w:r>
              <w:rPr>
                <w:sz w:val="18"/>
              </w:rPr>
              <w:t>[0.704, 0.790]</w:t>
            </w:r>
          </w:p>
        </w:tc>
        <w:tc>
          <w:tcPr>
            <w:tcW w:type="dxa" w:w="1440"/>
          </w:tcPr>
          <w:p>
            <w:r>
              <w:rPr>
                <w:sz w:val="18"/>
              </w:rPr>
              <w:t>[0.697, 0.803]</w:t>
            </w:r>
          </w:p>
        </w:tc>
        <w:tc>
          <w:tcPr>
            <w:tcW w:type="dxa" w:w="1440"/>
          </w:tcPr>
          <w:p>
            <w:r>
              <w:rPr>
                <w:sz w:val="18"/>
              </w:rPr>
              <w:t>0.921</w:t>
            </w:r>
          </w:p>
        </w:tc>
        <w:tc>
          <w:tcPr>
            <w:tcW w:type="dxa" w:w="1440"/>
          </w:tcPr>
          <w:p>
            <w:r>
              <w:rPr>
                <w:sz w:val="18"/>
              </w:rPr>
              <w:t>0.816</w:t>
            </w:r>
          </w:p>
        </w:tc>
      </w:tr>
      <w:tr>
        <w:tc>
          <w:tcPr>
            <w:tcW w:type="dxa" w:w="1440"/>
          </w:tcPr>
          <w:p>
            <w:r>
              <w:rPr>
                <w:sz w:val="18"/>
              </w:rPr>
              <w:t>modality</w:t>
            </w:r>
          </w:p>
        </w:tc>
        <w:tc>
          <w:tcPr>
            <w:tcW w:type="dxa" w:w="1440"/>
          </w:tcPr>
          <w:p>
            <w:r>
              <w:rPr>
                <w:sz w:val="18"/>
              </w:rPr>
              <w:t>0.570</w:t>
            </w:r>
          </w:p>
        </w:tc>
        <w:tc>
          <w:tcPr>
            <w:tcW w:type="dxa" w:w="1440"/>
          </w:tcPr>
          <w:p>
            <w:r>
              <w:rPr>
                <w:sz w:val="18"/>
              </w:rPr>
              <w:t>[0.434, 0.696]</w:t>
            </w:r>
          </w:p>
        </w:tc>
        <w:tc>
          <w:tcPr>
            <w:tcW w:type="dxa" w:w="1440"/>
          </w:tcPr>
          <w:p>
            <w:r>
              <w:rPr>
                <w:sz w:val="18"/>
              </w:rPr>
              <w:t>[0.517, 0.624]</w:t>
            </w:r>
          </w:p>
        </w:tc>
        <w:tc>
          <w:tcPr>
            <w:tcW w:type="dxa" w:w="1440"/>
          </w:tcPr>
          <w:p>
            <w:r>
              <w:rPr>
                <w:sz w:val="18"/>
              </w:rPr>
              <w:t>0.622</w:t>
            </w:r>
          </w:p>
        </w:tc>
        <w:tc>
          <w:tcPr>
            <w:tcW w:type="dxa" w:w="1440"/>
          </w:tcPr>
          <w:p>
            <w:r>
              <w:rPr>
                <w:sz w:val="18"/>
              </w:rPr>
              <w:t>0.916</w:t>
            </w:r>
          </w:p>
        </w:tc>
      </w:tr>
      <w:tr>
        <w:tc>
          <w:tcPr>
            <w:tcW w:type="dxa" w:w="1440"/>
          </w:tcPr>
          <w:p>
            <w:r>
              <w:rPr>
                <w:sz w:val="18"/>
              </w:rPr>
              <w:t>prompt_level</w:t>
            </w:r>
          </w:p>
        </w:tc>
        <w:tc>
          <w:tcPr>
            <w:tcW w:type="dxa" w:w="1440"/>
          </w:tcPr>
          <w:p>
            <w:r>
              <w:rPr>
                <w:sz w:val="18"/>
              </w:rPr>
              <w:t>0.595</w:t>
            </w:r>
          </w:p>
        </w:tc>
        <w:tc>
          <w:tcPr>
            <w:tcW w:type="dxa" w:w="1440"/>
          </w:tcPr>
          <w:p>
            <w:r>
              <w:rPr>
                <w:sz w:val="18"/>
              </w:rPr>
              <w:t>[0.519, 0.675]</w:t>
            </w:r>
          </w:p>
        </w:tc>
        <w:tc>
          <w:tcPr>
            <w:tcW w:type="dxa" w:w="1440"/>
          </w:tcPr>
          <w:p>
            <w:r>
              <w:rPr>
                <w:sz w:val="18"/>
              </w:rPr>
              <w:t>[0.516, 0.667]</w:t>
            </w:r>
          </w:p>
        </w:tc>
        <w:tc>
          <w:tcPr>
            <w:tcW w:type="dxa" w:w="1440"/>
          </w:tcPr>
          <w:p>
            <w:r>
              <w:rPr>
                <w:sz w:val="18"/>
              </w:rPr>
              <w:t>0.839</w:t>
            </w:r>
          </w:p>
        </w:tc>
        <w:tc>
          <w:tcPr>
            <w:tcW w:type="dxa" w:w="1440"/>
          </w:tcPr>
          <w:p>
            <w:r>
              <w:rPr>
                <w:sz w:val="18"/>
              </w:rPr>
              <w:t>0.709</w:t>
            </w:r>
          </w:p>
        </w:tc>
      </w:tr>
      <w:tr>
        <w:tc>
          <w:tcPr>
            <w:tcW w:type="dxa" w:w="1440"/>
          </w:tcPr>
          <w:p>
            <w:r>
              <w:rPr>
                <w:sz w:val="18"/>
              </w:rPr>
              <w:t>outcome</w:t>
            </w:r>
          </w:p>
        </w:tc>
        <w:tc>
          <w:tcPr>
            <w:tcW w:type="dxa" w:w="1440"/>
          </w:tcPr>
          <w:p>
            <w:r>
              <w:rPr>
                <w:sz w:val="18"/>
              </w:rPr>
              <w:t>0.524</w:t>
            </w:r>
          </w:p>
        </w:tc>
        <w:tc>
          <w:tcPr>
            <w:tcW w:type="dxa" w:w="1440"/>
          </w:tcPr>
          <w:p>
            <w:r>
              <w:rPr>
                <w:sz w:val="18"/>
              </w:rPr>
              <w:t>[0.467, 0.577]</w:t>
            </w:r>
          </w:p>
        </w:tc>
        <w:tc>
          <w:tcPr>
            <w:tcW w:type="dxa" w:w="1440"/>
          </w:tcPr>
          <w:p>
            <w:r>
              <w:rPr>
                <w:sz w:val="18"/>
              </w:rPr>
              <w:t>[0.458, 0.589]</w:t>
            </w:r>
          </w:p>
        </w:tc>
        <w:tc>
          <w:tcPr>
            <w:tcW w:type="dxa" w:w="1440"/>
          </w:tcPr>
          <w:p>
            <w:r>
              <w:rPr>
                <w:sz w:val="18"/>
              </w:rPr>
              <w:t>0.758</w:t>
            </w:r>
          </w:p>
        </w:tc>
        <w:tc>
          <w:tcPr>
            <w:tcW w:type="dxa" w:w="1440"/>
          </w:tcPr>
          <w:p>
            <w:r>
              <w:rPr>
                <w:sz w:val="18"/>
              </w:rPr>
              <w:t>0.691</w:t>
            </w:r>
          </w:p>
        </w:tc>
      </w:tr>
    </w:tbl>
    <w:p/>
    <w:p>
      <w:r>
        <w:rPr>
          <w:i w:val="0"/>
        </w:rPr>
        <w:t>Modality has both the lowest ceiling (0.622) and the highest ratio to it (0.916): the annotators reached 92% of the agreement their own category usage permitted. One annotator recorded 'none' 75 times; the other recorded it zero times. 80 of the 91 observed disagreements on that field were forced by the marginals before a transcript was read.</w:t>
      </w:r>
    </w:p>
    <w:p>
      <w:pPr>
        <w:jc w:val="center"/>
      </w:pPr>
      <w:r>
        <w:drawing>
          <wp:inline xmlns:a="http://schemas.openxmlformats.org/drawingml/2006/main" xmlns:pic="http://schemas.openxmlformats.org/drawingml/2006/picture">
            <wp:extent cx="5760720" cy="2857560"/>
            <wp:docPr id="7" name="Picture 7"/>
            <wp:cNvGraphicFramePr>
              <a:graphicFrameLocks noChangeAspect="1"/>
            </wp:cNvGraphicFramePr>
            <a:graphic>
              <a:graphicData uri="http://schemas.openxmlformats.org/drawingml/2006/picture">
                <pic:pic>
                  <pic:nvPicPr>
                    <pic:cNvPr id="0" name="fig10_reliability_round1.png"/>
                    <pic:cNvPicPr/>
                  </pic:nvPicPr>
                  <pic:blipFill>
                    <a:blip r:embed="rId15"/>
                    <a:stretch>
                      <a:fillRect/>
                    </a:stretch>
                  </pic:blipFill>
                  <pic:spPr>
                    <a:xfrm>
                      <a:off x="0" y="0"/>
                      <a:ext cx="5760720" cy="2857560"/>
                    </a:xfrm>
                    <a:prstGeom prst="rect"/>
                  </pic:spPr>
                </pic:pic>
              </a:graphicData>
            </a:graphic>
          </wp:inline>
        </w:drawing>
      </w:r>
    </w:p>
    <w:p>
      <w:pPr>
        <w:jc w:val="center"/>
      </w:pPr>
      <w:r>
        <w:rPr>
          <w:i/>
          <w:color w:val="7B8994"/>
          <w:sz w:val="18"/>
        </w:rPr>
        <w:t>Figure 7. Round-1 kappa against the ceiling set by the annotators' marginal distributions.</w:t>
      </w:r>
    </w:p>
    <w:p>
      <w:pPr>
        <w:jc w:val="center"/>
      </w:pPr>
      <w:r>
        <w:drawing>
          <wp:inline xmlns:a="http://schemas.openxmlformats.org/drawingml/2006/main" xmlns:pic="http://schemas.openxmlformats.org/drawingml/2006/picture">
            <wp:extent cx="5760720" cy="2105950"/>
            <wp:docPr id="8" name="Picture 8"/>
            <wp:cNvGraphicFramePr>
              <a:graphicFrameLocks noChangeAspect="1"/>
            </wp:cNvGraphicFramePr>
            <a:graphic>
              <a:graphicData uri="http://schemas.openxmlformats.org/drawingml/2006/picture">
                <pic:pic>
                  <pic:nvPicPr>
                    <pic:cNvPr id="0" name="fig11_confusion_round1.png"/>
                    <pic:cNvPicPr/>
                  </pic:nvPicPr>
                  <pic:blipFill>
                    <a:blip r:embed="rId16"/>
                    <a:stretch>
                      <a:fillRect/>
                    </a:stretch>
                  </pic:blipFill>
                  <pic:spPr>
                    <a:xfrm>
                      <a:off x="0" y="0"/>
                      <a:ext cx="5760720" cy="2105950"/>
                    </a:xfrm>
                    <a:prstGeom prst="rect"/>
                  </pic:spPr>
                </pic:pic>
              </a:graphicData>
            </a:graphic>
          </wp:inline>
        </w:drawing>
      </w:r>
    </w:p>
    <w:p>
      <w:pPr>
        <w:jc w:val="center"/>
      </w:pPr>
      <w:r>
        <w:rPr>
          <w:i/>
          <w:color w:val="7B8994"/>
          <w:sz w:val="18"/>
        </w:rPr>
        <w:t>Figure 8. Annotator confusion; amber cells mark conflicts the codebook resolves. The empty 'none' column in modality is the marginal mismatch.</w:t>
      </w:r>
    </w:p>
    <w:p>
      <w:pPr>
        <w:jc w:val="center"/>
      </w:pPr>
      <w:r>
        <w:drawing>
          <wp:inline xmlns:a="http://schemas.openxmlformats.org/drawingml/2006/main" xmlns:pic="http://schemas.openxmlformats.org/drawingml/2006/picture">
            <wp:extent cx="5760720" cy="2963666"/>
            <wp:docPr id="9" name="Picture 9"/>
            <wp:cNvGraphicFramePr>
              <a:graphicFrameLocks noChangeAspect="1"/>
            </wp:cNvGraphicFramePr>
            <a:graphic>
              <a:graphicData uri="http://schemas.openxmlformats.org/drawingml/2006/picture">
                <pic:pic>
                  <pic:nvPicPr>
                    <pic:cNvPr id="0" name="fig12_conflict_decomposition.png"/>
                    <pic:cNvPicPr/>
                  </pic:nvPicPr>
                  <pic:blipFill>
                    <a:blip r:embed="rId17"/>
                    <a:stretch>
                      <a:fillRect/>
                    </a:stretch>
                  </pic:blipFill>
                  <pic:spPr>
                    <a:xfrm>
                      <a:off x="0" y="0"/>
                      <a:ext cx="5760720" cy="2963666"/>
                    </a:xfrm>
                    <a:prstGeom prst="rect"/>
                  </pic:spPr>
                </pic:pic>
              </a:graphicData>
            </a:graphic>
          </wp:inline>
        </w:drawing>
      </w:r>
    </w:p>
    <w:p>
      <w:pPr>
        <w:jc w:val="center"/>
      </w:pPr>
      <w:r>
        <w:rPr>
          <w:i/>
          <w:color w:val="7B8994"/>
          <w:sz w:val="18"/>
        </w:rPr>
        <w:t>Figure 9. Round-1 conflicts by cause. 254 of 355 fall on one of three stated definitional boundaries.</w:t>
      </w:r>
    </w:p>
    <w:p>
      <w:r>
        <w:rPr>
          <w:b/>
          <w:sz w:val="19"/>
        </w:rPr>
        <w:t>Table 2. Change in kappa over the re-issued segments, treated fields against the untreated control. Asterisk marks an interval excluding zero; both resampling units agree on every field.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Field</w:t>
            </w:r>
          </w:p>
        </w:tc>
        <w:tc>
          <w:tcPr>
            <w:tcW w:type="dxa" w:w="1234"/>
          </w:tcPr>
          <w:p>
            <w:r>
              <w:rPr>
                <w:b/>
                <w:sz w:val="18"/>
              </w:rPr>
              <w:t>Arm</w:t>
            </w:r>
          </w:p>
        </w:tc>
        <w:tc>
          <w:tcPr>
            <w:tcW w:type="dxa" w:w="1234"/>
          </w:tcPr>
          <w:p>
            <w:r>
              <w:rPr>
                <w:b/>
                <w:sz w:val="18"/>
              </w:rPr>
              <w:t>Round 1</w:t>
            </w:r>
          </w:p>
        </w:tc>
        <w:tc>
          <w:tcPr>
            <w:tcW w:type="dxa" w:w="1234"/>
          </w:tcPr>
          <w:p>
            <w:r>
              <w:rPr>
                <w:b/>
                <w:sz w:val="18"/>
              </w:rPr>
              <w:t>Round 2</w:t>
            </w:r>
          </w:p>
        </w:tc>
        <w:tc>
          <w:tcPr>
            <w:tcW w:type="dxa" w:w="1234"/>
          </w:tcPr>
          <w:p>
            <w:r>
              <w:rPr>
                <w:b/>
                <w:sz w:val="18"/>
              </w:rPr>
              <w:t>Change</w:t>
            </w:r>
          </w:p>
        </w:tc>
        <w:tc>
          <w:tcPr>
            <w:tcW w:type="dxa" w:w="1234"/>
          </w:tcPr>
          <w:p>
            <w:r>
              <w:rPr>
                <w:b/>
                <w:sz w:val="18"/>
              </w:rPr>
              <w:t>95% CI (children)</w:t>
            </w:r>
          </w:p>
        </w:tc>
        <w:tc>
          <w:tcPr>
            <w:tcW w:type="dxa" w:w="1234"/>
          </w:tcPr>
          <w:p>
            <w:r>
              <w:rPr>
                <w:b/>
                <w:sz w:val="18"/>
              </w:rPr>
              <w:t>95% CI (segments)</w:t>
            </w:r>
          </w:p>
        </w:tc>
      </w:tr>
      <w:tr>
        <w:tc>
          <w:tcPr>
            <w:tcW w:type="dxa" w:w="1234"/>
          </w:tcPr>
          <w:p>
            <w:r>
              <w:rPr>
                <w:sz w:val="18"/>
              </w:rPr>
              <w:t>domain</w:t>
            </w:r>
          </w:p>
        </w:tc>
        <w:tc>
          <w:tcPr>
            <w:tcW w:type="dxa" w:w="1234"/>
          </w:tcPr>
          <w:p>
            <w:r>
              <w:rPr>
                <w:sz w:val="18"/>
              </w:rPr>
              <w:t>control</w:t>
            </w:r>
          </w:p>
        </w:tc>
        <w:tc>
          <w:tcPr>
            <w:tcW w:type="dxa" w:w="1234"/>
          </w:tcPr>
          <w:p>
            <w:r>
              <w:rPr>
                <w:sz w:val="18"/>
              </w:rPr>
              <w:t>0.732</w:t>
            </w:r>
          </w:p>
        </w:tc>
        <w:tc>
          <w:tcPr>
            <w:tcW w:type="dxa" w:w="1234"/>
          </w:tcPr>
          <w:p>
            <w:r>
              <w:rPr>
                <w:sz w:val="18"/>
              </w:rPr>
              <w:t>0.691</w:t>
            </w:r>
          </w:p>
        </w:tc>
        <w:tc>
          <w:tcPr>
            <w:tcW w:type="dxa" w:w="1234"/>
          </w:tcPr>
          <w:p>
            <w:r>
              <w:rPr>
                <w:sz w:val="18"/>
              </w:rPr>
              <w:t>-0.041</w:t>
            </w:r>
          </w:p>
        </w:tc>
        <w:tc>
          <w:tcPr>
            <w:tcW w:type="dxa" w:w="1234"/>
          </w:tcPr>
          <w:p>
            <w:r>
              <w:rPr>
                <w:sz w:val="18"/>
              </w:rPr>
              <w:t>[-0.142, +0.068]</w:t>
            </w:r>
          </w:p>
        </w:tc>
        <w:tc>
          <w:tcPr>
            <w:tcW w:type="dxa" w:w="1234"/>
          </w:tcPr>
          <w:p>
            <w:r>
              <w:rPr>
                <w:sz w:val="18"/>
              </w:rPr>
              <w:t>[-0.141, +0.052]</w:t>
            </w:r>
          </w:p>
        </w:tc>
      </w:tr>
      <w:tr>
        <w:tc>
          <w:tcPr>
            <w:tcW w:type="dxa" w:w="1234"/>
          </w:tcPr>
          <w:p>
            <w:r>
              <w:rPr>
                <w:sz w:val="18"/>
              </w:rPr>
              <w:t>modality</w:t>
            </w:r>
          </w:p>
        </w:tc>
        <w:tc>
          <w:tcPr>
            <w:tcW w:type="dxa" w:w="1234"/>
          </w:tcPr>
          <w:p>
            <w:r>
              <w:rPr>
                <w:sz w:val="18"/>
              </w:rPr>
              <w:t>treated</w:t>
            </w:r>
          </w:p>
        </w:tc>
        <w:tc>
          <w:tcPr>
            <w:tcW w:type="dxa" w:w="1234"/>
          </w:tcPr>
          <w:p>
            <w:r>
              <w:rPr>
                <w:sz w:val="18"/>
              </w:rPr>
              <w:t>0.385</w:t>
            </w:r>
          </w:p>
        </w:tc>
        <w:tc>
          <w:tcPr>
            <w:tcW w:type="dxa" w:w="1234"/>
          </w:tcPr>
          <w:p>
            <w:r>
              <w:rPr>
                <w:sz w:val="18"/>
              </w:rPr>
              <w:t>0.866</w:t>
            </w:r>
          </w:p>
        </w:tc>
        <w:tc>
          <w:tcPr>
            <w:tcW w:type="dxa" w:w="1234"/>
          </w:tcPr>
          <w:p>
            <w:r>
              <w:rPr>
                <w:sz w:val="18"/>
              </w:rPr>
              <w:t>+0.481</w:t>
            </w:r>
          </w:p>
        </w:tc>
        <w:tc>
          <w:tcPr>
            <w:tcW w:type="dxa" w:w="1234"/>
          </w:tcPr>
          <w:p>
            <w:r>
              <w:rPr>
                <w:sz w:val="18"/>
              </w:rPr>
              <w:t>[+0.337, +0.583]  *</w:t>
            </w:r>
          </w:p>
        </w:tc>
        <w:tc>
          <w:tcPr>
            <w:tcW w:type="dxa" w:w="1234"/>
          </w:tcPr>
          <w:p>
            <w:r>
              <w:rPr>
                <w:sz w:val="18"/>
              </w:rPr>
              <w:t>[+0.397, +0.565]  *</w:t>
            </w:r>
          </w:p>
        </w:tc>
      </w:tr>
      <w:tr>
        <w:tc>
          <w:tcPr>
            <w:tcW w:type="dxa" w:w="1234"/>
          </w:tcPr>
          <w:p>
            <w:r>
              <w:rPr>
                <w:sz w:val="18"/>
              </w:rPr>
              <w:t>prompt_level</w:t>
            </w:r>
          </w:p>
        </w:tc>
        <w:tc>
          <w:tcPr>
            <w:tcW w:type="dxa" w:w="1234"/>
          </w:tcPr>
          <w:p>
            <w:r>
              <w:rPr>
                <w:sz w:val="18"/>
              </w:rPr>
              <w:t>treated</w:t>
            </w:r>
          </w:p>
        </w:tc>
        <w:tc>
          <w:tcPr>
            <w:tcW w:type="dxa" w:w="1234"/>
          </w:tcPr>
          <w:p>
            <w:r>
              <w:rPr>
                <w:sz w:val="18"/>
              </w:rPr>
              <w:t>0.281</w:t>
            </w:r>
          </w:p>
        </w:tc>
        <w:tc>
          <w:tcPr>
            <w:tcW w:type="dxa" w:w="1234"/>
          </w:tcPr>
          <w:p>
            <w:r>
              <w:rPr>
                <w:sz w:val="18"/>
              </w:rPr>
              <w:t>0.574</w:t>
            </w:r>
          </w:p>
        </w:tc>
        <w:tc>
          <w:tcPr>
            <w:tcW w:type="dxa" w:w="1234"/>
          </w:tcPr>
          <w:p>
            <w:r>
              <w:rPr>
                <w:sz w:val="18"/>
              </w:rPr>
              <w:t>+0.293</w:t>
            </w:r>
          </w:p>
        </w:tc>
        <w:tc>
          <w:tcPr>
            <w:tcW w:type="dxa" w:w="1234"/>
          </w:tcPr>
          <w:p>
            <w:r>
              <w:rPr>
                <w:sz w:val="18"/>
              </w:rPr>
              <w:t>[+0.191, +0.435]  *</w:t>
            </w:r>
          </w:p>
        </w:tc>
        <w:tc>
          <w:tcPr>
            <w:tcW w:type="dxa" w:w="1234"/>
          </w:tcPr>
          <w:p>
            <w:r>
              <w:rPr>
                <w:sz w:val="18"/>
              </w:rPr>
              <w:t>[+0.137, +0.447]  *</w:t>
            </w:r>
          </w:p>
        </w:tc>
      </w:tr>
      <w:tr>
        <w:tc>
          <w:tcPr>
            <w:tcW w:type="dxa" w:w="1234"/>
          </w:tcPr>
          <w:p>
            <w:r>
              <w:rPr>
                <w:sz w:val="18"/>
              </w:rPr>
              <w:t>outcome</w:t>
            </w:r>
          </w:p>
        </w:tc>
        <w:tc>
          <w:tcPr>
            <w:tcW w:type="dxa" w:w="1234"/>
          </w:tcPr>
          <w:p>
            <w:r>
              <w:rPr>
                <w:sz w:val="18"/>
              </w:rPr>
              <w:t>treated</w:t>
            </w:r>
          </w:p>
        </w:tc>
        <w:tc>
          <w:tcPr>
            <w:tcW w:type="dxa" w:w="1234"/>
          </w:tcPr>
          <w:p>
            <w:r>
              <w:rPr>
                <w:sz w:val="18"/>
              </w:rPr>
              <w:t>0.284</w:t>
            </w:r>
          </w:p>
        </w:tc>
        <w:tc>
          <w:tcPr>
            <w:tcW w:type="dxa" w:w="1234"/>
          </w:tcPr>
          <w:p>
            <w:r>
              <w:rPr>
                <w:sz w:val="18"/>
              </w:rPr>
              <w:t>0.628</w:t>
            </w:r>
          </w:p>
        </w:tc>
        <w:tc>
          <w:tcPr>
            <w:tcW w:type="dxa" w:w="1234"/>
          </w:tcPr>
          <w:p>
            <w:r>
              <w:rPr>
                <w:sz w:val="18"/>
              </w:rPr>
              <w:t>+0.344</w:t>
            </w:r>
          </w:p>
        </w:tc>
        <w:tc>
          <w:tcPr>
            <w:tcW w:type="dxa" w:w="1234"/>
          </w:tcPr>
          <w:p>
            <w:r>
              <w:rPr>
                <w:sz w:val="18"/>
              </w:rPr>
              <w:t>[+0.160, +0.562]  *</w:t>
            </w:r>
          </w:p>
        </w:tc>
        <w:tc>
          <w:tcPr>
            <w:tcW w:type="dxa" w:w="1234"/>
          </w:tcPr>
          <w:p>
            <w:r>
              <w:rPr>
                <w:sz w:val="18"/>
              </w:rPr>
              <w:t>[+0.217, +0.464]  *</w:t>
            </w:r>
          </w:p>
        </w:tc>
      </w:tr>
    </w:tbl>
    <w:p/>
    <w:p>
      <w:r>
        <w:rPr>
          <w:i w:val="0"/>
        </w:rPr>
        <w:t>All three treated fields improved with intervals excluding zero; the untreated control field did not. The substantially larger changes in the treated fields, together with the absence of improvement in the control, are consistent with an effect of the clarified definitions rather than a general re-annotation effect. The control is not identical to the treated fields in difficulty or category distribution, so it bounds rather than eliminates that alternative explanation. The proposed mechanism is visible in the ceilings: kappa_max on modality moved from 0.622 to 0.948 as the annotators' category vocabularies aligned, which is what a definition should do and what the round-1 diagnosis predicted.</w:t>
      </w:r>
    </w:p>
    <w:p>
      <w:pPr>
        <w:jc w:val="center"/>
      </w:pPr>
      <w:r>
        <w:drawing>
          <wp:inline xmlns:a="http://schemas.openxmlformats.org/drawingml/2006/main" xmlns:pic="http://schemas.openxmlformats.org/drawingml/2006/picture">
            <wp:extent cx="5760720" cy="2080842"/>
            <wp:docPr id="10" name="Picture 10"/>
            <wp:cNvGraphicFramePr>
              <a:graphicFrameLocks noChangeAspect="1"/>
            </wp:cNvGraphicFramePr>
            <a:graphic>
              <a:graphicData uri="http://schemas.openxmlformats.org/drawingml/2006/picture">
                <pic:pic>
                  <pic:nvPicPr>
                    <pic:cNvPr id="0" name="fig13_round_comparison.png"/>
                    <pic:cNvPicPr/>
                  </pic:nvPicPr>
                  <pic:blipFill>
                    <a:blip r:embed="rId18"/>
                    <a:stretch>
                      <a:fillRect/>
                    </a:stretch>
                  </pic:blipFill>
                  <pic:spPr>
                    <a:xfrm>
                      <a:off x="0" y="0"/>
                      <a:ext cx="5760720" cy="2080842"/>
                    </a:xfrm>
                    <a:prstGeom prst="rect"/>
                  </pic:spPr>
                </pic:pic>
              </a:graphicData>
            </a:graphic>
          </wp:inline>
        </w:drawing>
      </w:r>
    </w:p>
    <w:p>
      <w:pPr>
        <w:jc w:val="center"/>
      </w:pPr>
      <w:r>
        <w:rPr>
          <w:i/>
          <w:color w:val="7B8994"/>
          <w:sz w:val="18"/>
        </w:rPr>
        <w:t>Figure 10. Reliability before and after the codebook, with the paired interval on each change. The control field is shown in grey.</w:t>
      </w:r>
    </w:p>
    <w:p>
      <w:pPr>
        <w:pStyle w:val="Heading2"/>
      </w:pPr>
      <w:r>
        <w:t>Gold standard</w:t>
      </w:r>
    </w:p>
    <w:p>
      <w:r>
        <w:rPr>
          <w:i w:val="0"/>
        </w:rPr>
        <w:t>**Substantive disagreement affected 127 of 330 segments, not 322.** The larger figure is the number of segments adjudication touched, and the two must not be read as the same quantity. Of the 503 fields adjudicated, 321 were free-text behavior descriptions, which differ by exact string match on almost every segment even where the two annotators describe the same event in different words; resolving those is a choice between two adequate wordings rather than a substantive judgement. Categorical disagreement — the quantity that bears on reliability — affected 182 fields across 127 segments. Because a segment undecided on any field is excluded from the gold standard entirely, the wording rows still had to be settled, which is why only 8 segments required no adjudication at all.</w:t>
      </w:r>
    </w:p>
    <w:p>
      <w:r>
        <w:rPr>
          <w:b/>
          <w:sz w:val="19"/>
        </w:rPr>
        <w:t>Table 3. Adjudication load, by the kind of conflict.</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Quantity</w:t>
            </w:r>
          </w:p>
        </w:tc>
        <w:tc>
          <w:tcPr>
            <w:tcW w:type="dxa" w:w="4320"/>
          </w:tcPr>
          <w:p>
            <w:r>
              <w:rPr>
                <w:b/>
                <w:sz w:val="18"/>
              </w:rPr>
              <w:t>n</w:t>
            </w:r>
          </w:p>
        </w:tc>
      </w:tr>
      <w:tr>
        <w:tc>
          <w:tcPr>
            <w:tcW w:type="dxa" w:w="4320"/>
          </w:tcPr>
          <w:p>
            <w:r>
              <w:rPr>
                <w:sz w:val="18"/>
              </w:rPr>
              <w:t>Categorical field conflicts (domain, modality, prompt_level, outcome)</w:t>
            </w:r>
          </w:p>
        </w:tc>
        <w:tc>
          <w:tcPr>
            <w:tcW w:type="dxa" w:w="4320"/>
          </w:tcPr>
          <w:p>
            <w:r>
              <w:rPr>
                <w:sz w:val="18"/>
              </w:rPr>
              <w:t>182</w:t>
            </w:r>
          </w:p>
        </w:tc>
      </w:tr>
      <w:tr>
        <w:tc>
          <w:tcPr>
            <w:tcW w:type="dxa" w:w="4320"/>
          </w:tcPr>
          <w:p>
            <w:r>
              <w:rPr>
                <w:sz w:val="18"/>
              </w:rPr>
              <w:t>Segments with at least one categorical conflict</w:t>
            </w:r>
          </w:p>
        </w:tc>
        <w:tc>
          <w:tcPr>
            <w:tcW w:type="dxa" w:w="4320"/>
          </w:tcPr>
          <w:p>
            <w:r>
              <w:rPr>
                <w:sz w:val="18"/>
              </w:rPr>
              <w:t>127</w:t>
            </w:r>
          </w:p>
        </w:tc>
      </w:tr>
      <w:tr>
        <w:tc>
          <w:tcPr>
            <w:tcW w:type="dxa" w:w="4320"/>
          </w:tcPr>
          <w:p>
            <w:r>
              <w:rPr>
                <w:sz w:val="18"/>
              </w:rPr>
              <w:t>Free-text behavior conflicts (exact match)</w:t>
            </w:r>
          </w:p>
        </w:tc>
        <w:tc>
          <w:tcPr>
            <w:tcW w:type="dxa" w:w="4320"/>
          </w:tcPr>
          <w:p>
            <w:r>
              <w:rPr>
                <w:sz w:val="18"/>
              </w:rPr>
              <w:t>321</w:t>
            </w:r>
          </w:p>
        </w:tc>
      </w:tr>
      <w:tr>
        <w:tc>
          <w:tcPr>
            <w:tcW w:type="dxa" w:w="4320"/>
          </w:tcPr>
          <w:p>
            <w:r>
              <w:rPr>
                <w:sz w:val="18"/>
              </w:rPr>
              <w:t>Total fields adjudicated</w:t>
            </w:r>
          </w:p>
        </w:tc>
        <w:tc>
          <w:tcPr>
            <w:tcW w:type="dxa" w:w="4320"/>
          </w:tcPr>
          <w:p>
            <w:r>
              <w:rPr>
                <w:sz w:val="18"/>
              </w:rPr>
              <w:t>503</w:t>
            </w:r>
          </w:p>
        </w:tc>
      </w:tr>
      <w:tr>
        <w:tc>
          <w:tcPr>
            <w:tcW w:type="dxa" w:w="4320"/>
          </w:tcPr>
          <w:p>
            <w:r>
              <w:rPr>
                <w:sz w:val="18"/>
              </w:rPr>
              <w:t>Segments requiring any adjudication</w:t>
            </w:r>
          </w:p>
        </w:tc>
        <w:tc>
          <w:tcPr>
            <w:tcW w:type="dxa" w:w="4320"/>
          </w:tcPr>
          <w:p>
            <w:r>
              <w:rPr>
                <w:sz w:val="18"/>
              </w:rPr>
              <w:t>322</w:t>
            </w:r>
          </w:p>
        </w:tc>
      </w:tr>
      <w:tr>
        <w:tc>
          <w:tcPr>
            <w:tcW w:type="dxa" w:w="4320"/>
          </w:tcPr>
          <w:p>
            <w:r>
              <w:rPr>
                <w:sz w:val="18"/>
              </w:rPr>
              <w:t>Segments requiring none (agreed on every field)</w:t>
            </w:r>
          </w:p>
        </w:tc>
        <w:tc>
          <w:tcPr>
            <w:tcW w:type="dxa" w:w="4320"/>
          </w:tcPr>
          <w:p>
            <w:r>
              <w:rPr>
                <w:sz w:val="18"/>
              </w:rPr>
              <w:t>8</w:t>
            </w:r>
          </w:p>
        </w:tc>
      </w:tr>
    </w:tbl>
    <w:p/>
    <w:p>
      <w:r>
        <w:rPr>
          <w:b/>
          <w:sz w:val="19"/>
        </w:rPr>
        <w:t>Table 4. Composition of the adjudicated gold standard.</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Property</w:t>
            </w:r>
          </w:p>
        </w:tc>
        <w:tc>
          <w:tcPr>
            <w:tcW w:type="dxa" w:w="4320"/>
          </w:tcPr>
          <w:p>
            <w:r>
              <w:rPr>
                <w:b/>
                <w:sz w:val="18"/>
              </w:rPr>
              <w:t>Value</w:t>
            </w:r>
          </w:p>
        </w:tc>
      </w:tr>
      <w:tr>
        <w:tc>
          <w:tcPr>
            <w:tcW w:type="dxa" w:w="4320"/>
          </w:tcPr>
          <w:p>
            <w:r>
              <w:rPr>
                <w:sz w:val="18"/>
              </w:rPr>
              <w:t>Segments in gold</w:t>
            </w:r>
          </w:p>
        </w:tc>
        <w:tc>
          <w:tcPr>
            <w:tcW w:type="dxa" w:w="4320"/>
          </w:tcPr>
          <w:p>
            <w:r>
              <w:rPr>
                <w:sz w:val="18"/>
              </w:rPr>
              <w:t>330 of 330</w:t>
            </w:r>
          </w:p>
        </w:tc>
      </w:tr>
      <w:tr>
        <w:tc>
          <w:tcPr>
            <w:tcW w:type="dxa" w:w="4320"/>
          </w:tcPr>
          <w:p>
            <w:r>
              <w:rPr>
                <w:sz w:val="18"/>
              </w:rPr>
              <w:t>Excluded (unresolved)</w:t>
            </w:r>
          </w:p>
        </w:tc>
        <w:tc>
          <w:tcPr>
            <w:tcW w:type="dxa" w:w="4320"/>
          </w:tcPr>
          <w:p>
            <w:r>
              <w:rPr>
                <w:sz w:val="18"/>
              </w:rPr>
              <w:t>0</w:t>
            </w:r>
          </w:p>
        </w:tc>
      </w:tr>
      <w:tr>
        <w:tc>
          <w:tcPr>
            <w:tcW w:type="dxa" w:w="4320"/>
          </w:tcPr>
          <w:p>
            <w:r>
              <w:rPr>
                <w:sz w:val="18"/>
              </w:rPr>
              <w:t>Adjudicator</w:t>
            </w:r>
          </w:p>
        </w:tc>
        <w:tc>
          <w:tcPr>
            <w:tcW w:type="dxa" w:w="4320"/>
          </w:tcPr>
          <w:p>
            <w:r>
              <w:rPr>
                <w:sz w:val="18"/>
              </w:rPr>
              <w:t>consensus:annotator_a+annotator_b (both annotators, jointly, working from docs/annotation_codebook.md)</w:t>
            </w:r>
          </w:p>
        </w:tc>
      </w:tr>
      <w:tr>
        <w:tc>
          <w:tcPr>
            <w:tcW w:type="dxa" w:w="4320"/>
          </w:tcPr>
          <w:p>
            <w:r>
              <w:rPr>
                <w:sz w:val="18"/>
              </w:rPr>
              <w:t>Null values in gold</w:t>
            </w:r>
          </w:p>
        </w:tc>
        <w:tc>
          <w:tcPr>
            <w:tcW w:type="dxa" w:w="4320"/>
          </w:tcPr>
          <w:p>
            <w:r>
              <w:rPr>
                <w:sz w:val="18"/>
              </w:rPr>
              <w:t>domain 3, modality 77, prompt_level 2, outcome 115</w:t>
            </w:r>
          </w:p>
        </w:tc>
      </w:tr>
    </w:tbl>
    <w:p/>
    <w:p>
      <w:r>
        <w:br w:type="page"/>
      </w:r>
    </w:p>
    <w:p>
      <w:pPr>
        <w:pStyle w:val="Heading2"/>
      </w:pPr>
      <w:r>
        <w:t>Generator behaviour</w:t>
      </w:r>
    </w:p>
    <w:p>
      <w:r>
        <w:rPr>
          <w:i w:val="0"/>
        </w:rPr>
        <w:t>Self-reported provider status is not a usable guide to whether a model produced anything. Across 496 abstentions from the three generators, 494 (99.6%) still carried at least one populated field. One generator self-reported 'abstained' on 197 of 330 segments while populating domain on 97.0% of them; another reported mean confidence 0.86 alongside the sparsest output in the roster.</w:t>
      </w:r>
    </w:p>
    <w:p>
      <w:pPr>
        <w:jc w:val="center"/>
      </w:pPr>
      <w:r>
        <w:drawing>
          <wp:inline xmlns:a="http://schemas.openxmlformats.org/drawingml/2006/main" xmlns:pic="http://schemas.openxmlformats.org/drawingml/2006/picture">
            <wp:extent cx="5760720" cy="2526632"/>
            <wp:docPr id="11" name="Picture 11"/>
            <wp:cNvGraphicFramePr>
              <a:graphicFrameLocks noChangeAspect="1"/>
            </wp:cNvGraphicFramePr>
            <a:graphic>
              <a:graphicData uri="http://schemas.openxmlformats.org/drawingml/2006/picture">
                <pic:pic>
                  <pic:nvPicPr>
                    <pic:cNvPr id="0" name="fig6_status_vs_output.png"/>
                    <pic:cNvPicPr/>
                  </pic:nvPicPr>
                  <pic:blipFill>
                    <a:blip r:embed="rId19"/>
                    <a:stretch>
                      <a:fillRect/>
                    </a:stretch>
                  </pic:blipFill>
                  <pic:spPr>
                    <a:xfrm>
                      <a:off x="0" y="0"/>
                      <a:ext cx="5760720" cy="2526632"/>
                    </a:xfrm>
                    <a:prstGeom prst="rect"/>
                  </pic:spPr>
                </pic:pic>
              </a:graphicData>
            </a:graphic>
          </wp:inline>
        </w:drawing>
      </w:r>
    </w:p>
    <w:p>
      <w:pPr>
        <w:jc w:val="center"/>
      </w:pPr>
      <w:r>
        <w:rPr>
          <w:i/>
          <w:color w:val="7B8994"/>
          <w:sz w:val="18"/>
        </w:rPr>
        <w:t>Figure 11. Self-reported status against actual field population.</w:t>
      </w:r>
    </w:p>
    <w:p>
      <w:r>
        <w:rPr>
          <w:i w:val="0"/>
        </w:rPr>
        <w:t>The generators diverge almost everywhere. Unanimity across all three is rare: 4.5% of segments on domain, 15.2% on modality, 12.1% on outcome, 6.1% on prompt_level. Divergence of this magnitude is what makes selection a live question rather than a formality.</w:t>
      </w:r>
    </w:p>
    <w:p>
      <w:pPr>
        <w:jc w:val="center"/>
      </w:pPr>
      <w:r>
        <w:drawing>
          <wp:inline xmlns:a="http://schemas.openxmlformats.org/drawingml/2006/main" xmlns:pic="http://schemas.openxmlformats.org/drawingml/2006/picture">
            <wp:extent cx="5760720" cy="2279022"/>
            <wp:docPr id="12" name="Picture 12"/>
            <wp:cNvGraphicFramePr>
              <a:graphicFrameLocks noChangeAspect="1"/>
            </wp:cNvGraphicFramePr>
            <a:graphic>
              <a:graphicData uri="http://schemas.openxmlformats.org/drawingml/2006/picture">
                <pic:pic>
                  <pic:nvPicPr>
                    <pic:cNvPr id="0" name="fig7_divergence.png"/>
                    <pic:cNvPicPr/>
                  </pic:nvPicPr>
                  <pic:blipFill>
                    <a:blip r:embed="rId20"/>
                    <a:stretch>
                      <a:fillRect/>
                    </a:stretch>
                  </pic:blipFill>
                  <pic:spPr>
                    <a:xfrm>
                      <a:off x="0" y="0"/>
                      <a:ext cx="5760720" cy="2279022"/>
                    </a:xfrm>
                    <a:prstGeom prst="rect"/>
                  </pic:spPr>
                </pic:pic>
              </a:graphicData>
            </a:graphic>
          </wp:inline>
        </w:drawing>
      </w:r>
    </w:p>
    <w:p>
      <w:pPr>
        <w:jc w:val="center"/>
      </w:pPr>
      <w:r>
        <w:rPr>
          <w:i/>
          <w:color w:val="7B8994"/>
          <w:sz w:val="18"/>
        </w:rPr>
        <w:t>Figure 12. Candidate divergence across the three generators.</w:t>
      </w:r>
    </w:p>
    <w:p>
      <w:r>
        <w:rPr>
          <w:i w:val="0"/>
        </w:rPr>
        <w:t>Taking the union across generators raises field population above the best single generator by 16.1 points on outcome and 8.5 on prompt_level. These are populated fields, not correct ones; whether the additional values are supported by the transcript is what the annotation measures.</w:t>
      </w:r>
    </w:p>
    <w:p>
      <w:pPr>
        <w:jc w:val="center"/>
      </w:pPr>
      <w:r>
        <w:drawing>
          <wp:inline xmlns:a="http://schemas.openxmlformats.org/drawingml/2006/main" xmlns:pic="http://schemas.openxmlformats.org/drawingml/2006/picture">
            <wp:extent cx="5760720" cy="2354821"/>
            <wp:docPr id="13" name="Picture 13"/>
            <wp:cNvGraphicFramePr>
              <a:graphicFrameLocks noChangeAspect="1"/>
            </wp:cNvGraphicFramePr>
            <a:graphic>
              <a:graphicData uri="http://schemas.openxmlformats.org/drawingml/2006/picture">
                <pic:pic>
                  <pic:nvPicPr>
                    <pic:cNvPr id="0" name="fig8_coverage_headroom.png"/>
                    <pic:cNvPicPr/>
                  </pic:nvPicPr>
                  <pic:blipFill>
                    <a:blip r:embed="rId21"/>
                    <a:stretch>
                      <a:fillRect/>
                    </a:stretch>
                  </pic:blipFill>
                  <pic:spPr>
                    <a:xfrm>
                      <a:off x="0" y="0"/>
                      <a:ext cx="5760720" cy="2354821"/>
                    </a:xfrm>
                    <a:prstGeom prst="rect"/>
                  </pic:spPr>
                </pic:pic>
              </a:graphicData>
            </a:graphic>
          </wp:inline>
        </w:drawing>
      </w:r>
    </w:p>
    <w:p>
      <w:pPr>
        <w:jc w:val="center"/>
      </w:pPr>
      <w:r>
        <w:rPr>
          <w:i/>
          <w:color w:val="7B8994"/>
          <w:sz w:val="18"/>
        </w:rPr>
        <w:t>Figure 13. Coverage headroom available to an oracle selector, in populated fields rather than correct ones.</w:t>
      </w:r>
    </w:p>
    <w:p>
      <w:pPr>
        <w:jc w:val="center"/>
      </w:pPr>
      <w:r>
        <w:drawing>
          <wp:inline xmlns:a="http://schemas.openxmlformats.org/drawingml/2006/main" xmlns:pic="http://schemas.openxmlformats.org/drawingml/2006/picture">
            <wp:extent cx="5120640" cy="2002878"/>
            <wp:docPr id="14" name="Picture 14"/>
            <wp:cNvGraphicFramePr>
              <a:graphicFrameLocks noChangeAspect="1"/>
            </wp:cNvGraphicFramePr>
            <a:graphic>
              <a:graphicData uri="http://schemas.openxmlformats.org/drawingml/2006/picture">
                <pic:pic>
                  <pic:nvPicPr>
                    <pic:cNvPr id="0" name="fig9_mars_branches.png"/>
                    <pic:cNvPicPr/>
                  </pic:nvPicPr>
                  <pic:blipFill>
                    <a:blip r:embed="rId22"/>
                    <a:stretch>
                      <a:fillRect/>
                    </a:stretch>
                  </pic:blipFill>
                  <pic:spPr>
                    <a:xfrm>
                      <a:off x="0" y="0"/>
                      <a:ext cx="5120640" cy="2002878"/>
                    </a:xfrm>
                    <a:prstGeom prst="rect"/>
                  </pic:spPr>
                </pic:pic>
              </a:graphicData>
            </a:graphic>
          </wp:inline>
        </w:drawing>
      </w:r>
    </w:p>
    <w:p>
      <w:pPr>
        <w:jc w:val="center"/>
      </w:pPr>
      <w:r>
        <w:rPr>
          <w:i/>
          <w:color w:val="7B8994"/>
          <w:sz w:val="18"/>
        </w:rPr>
        <w:t>Figure 14. MARS candidate-stage branch distribution: 12.7% abstain before any judge is consulted, 37.3% short-circuit, 50.0% present a genuine ranking decision.</w:t>
      </w:r>
    </w:p>
    <w:p>
      <w:pPr>
        <w:pStyle w:val="Heading2"/>
      </w:pPr>
      <w:r>
        <w:t>Extraction accuracy</w:t>
      </w:r>
    </w:p>
    <w:p>
      <w:r>
        <w:rPr>
          <w:b/>
          <w:sz w:val="19"/>
        </w:rPr>
        <w:t>Table 5. Acceptable extractions per field (n = 330; acceptable = correct or correctly null; free-text behavior excluded).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Generator</w:t>
            </w:r>
          </w:p>
        </w:tc>
        <w:tc>
          <w:tcPr>
            <w:tcW w:type="dxa" w:w="1728"/>
          </w:tcPr>
          <w:p>
            <w:r>
              <w:rPr>
                <w:b/>
                <w:sz w:val="18"/>
              </w:rPr>
              <w:t>domain</w:t>
            </w:r>
          </w:p>
        </w:tc>
        <w:tc>
          <w:tcPr>
            <w:tcW w:type="dxa" w:w="1728"/>
          </w:tcPr>
          <w:p>
            <w:r>
              <w:rPr>
                <w:b/>
                <w:sz w:val="18"/>
              </w:rPr>
              <w:t>modality</w:t>
            </w:r>
          </w:p>
        </w:tc>
        <w:tc>
          <w:tcPr>
            <w:tcW w:type="dxa" w:w="1728"/>
          </w:tcPr>
          <w:p>
            <w:r>
              <w:rPr>
                <w:b/>
                <w:sz w:val="18"/>
              </w:rPr>
              <w:t>prompt_level</w:t>
            </w:r>
          </w:p>
        </w:tc>
        <w:tc>
          <w:tcPr>
            <w:tcW w:type="dxa" w:w="1728"/>
          </w:tcPr>
          <w:p>
            <w:r>
              <w:rPr>
                <w:b/>
                <w:sz w:val="18"/>
              </w:rPr>
              <w:t>outcome</w:t>
            </w:r>
          </w:p>
        </w:tc>
      </w:tr>
      <w:tr>
        <w:tc>
          <w:tcPr>
            <w:tcW w:type="dxa" w:w="1728"/>
          </w:tcPr>
          <w:p>
            <w:r>
              <w:rPr>
                <w:sz w:val="18"/>
              </w:rPr>
              <w:t>llama3.2:latest</w:t>
            </w:r>
          </w:p>
        </w:tc>
        <w:tc>
          <w:tcPr>
            <w:tcW w:type="dxa" w:w="1728"/>
          </w:tcPr>
          <w:p>
            <w:r>
              <w:rPr>
                <w:sz w:val="18"/>
              </w:rPr>
              <w:t>17.9%</w:t>
            </w:r>
          </w:p>
        </w:tc>
        <w:tc>
          <w:tcPr>
            <w:tcW w:type="dxa" w:w="1728"/>
          </w:tcPr>
          <w:p>
            <w:r>
              <w:rPr>
                <w:sz w:val="18"/>
              </w:rPr>
              <w:t>50.3%</w:t>
            </w:r>
          </w:p>
        </w:tc>
        <w:tc>
          <w:tcPr>
            <w:tcW w:type="dxa" w:w="1728"/>
          </w:tcPr>
          <w:p>
            <w:r>
              <w:rPr>
                <w:sz w:val="18"/>
              </w:rPr>
              <w:t>28.2%</w:t>
            </w:r>
          </w:p>
        </w:tc>
        <w:tc>
          <w:tcPr>
            <w:tcW w:type="dxa" w:w="1728"/>
          </w:tcPr>
          <w:p>
            <w:r>
              <w:rPr>
                <w:sz w:val="18"/>
              </w:rPr>
              <w:t>27.0%</w:t>
            </w:r>
          </w:p>
        </w:tc>
      </w:tr>
      <w:tr>
        <w:tc>
          <w:tcPr>
            <w:tcW w:type="dxa" w:w="1728"/>
          </w:tcPr>
          <w:p>
            <w:r>
              <w:rPr>
                <w:sz w:val="18"/>
              </w:rPr>
              <w:t>qwen2.5:3b</w:t>
            </w:r>
          </w:p>
        </w:tc>
        <w:tc>
          <w:tcPr>
            <w:tcW w:type="dxa" w:w="1728"/>
          </w:tcPr>
          <w:p>
            <w:r>
              <w:rPr>
                <w:sz w:val="18"/>
              </w:rPr>
              <w:t>8.8%</w:t>
            </w:r>
          </w:p>
        </w:tc>
        <w:tc>
          <w:tcPr>
            <w:tcW w:type="dxa" w:w="1728"/>
          </w:tcPr>
          <w:p>
            <w:r>
              <w:rPr>
                <w:sz w:val="18"/>
              </w:rPr>
              <w:t>36.4%</w:t>
            </w:r>
          </w:p>
        </w:tc>
        <w:tc>
          <w:tcPr>
            <w:tcW w:type="dxa" w:w="1728"/>
          </w:tcPr>
          <w:p>
            <w:r>
              <w:rPr>
                <w:sz w:val="18"/>
              </w:rPr>
              <w:t>4.2%</w:t>
            </w:r>
          </w:p>
        </w:tc>
        <w:tc>
          <w:tcPr>
            <w:tcW w:type="dxa" w:w="1728"/>
          </w:tcPr>
          <w:p>
            <w:r>
              <w:rPr>
                <w:sz w:val="18"/>
              </w:rPr>
              <w:t>32.4%</w:t>
            </w:r>
          </w:p>
        </w:tc>
      </w:tr>
      <w:tr>
        <w:tc>
          <w:tcPr>
            <w:tcW w:type="dxa" w:w="1728"/>
          </w:tcPr>
          <w:p>
            <w:r>
              <w:rPr>
                <w:sz w:val="18"/>
              </w:rPr>
              <w:t>qwen2.5:7b</w:t>
            </w:r>
          </w:p>
        </w:tc>
        <w:tc>
          <w:tcPr>
            <w:tcW w:type="dxa" w:w="1728"/>
          </w:tcPr>
          <w:p>
            <w:r>
              <w:rPr>
                <w:sz w:val="18"/>
              </w:rPr>
              <w:t>42.4%</w:t>
            </w:r>
          </w:p>
        </w:tc>
        <w:tc>
          <w:tcPr>
            <w:tcW w:type="dxa" w:w="1728"/>
          </w:tcPr>
          <w:p>
            <w:r>
              <w:rPr>
                <w:sz w:val="18"/>
              </w:rPr>
              <w:t>67.9%</w:t>
            </w:r>
          </w:p>
        </w:tc>
        <w:tc>
          <w:tcPr>
            <w:tcW w:type="dxa" w:w="1728"/>
          </w:tcPr>
          <w:p>
            <w:r>
              <w:rPr>
                <w:sz w:val="18"/>
              </w:rPr>
              <w:t>28.2%</w:t>
            </w:r>
          </w:p>
        </w:tc>
        <w:tc>
          <w:tcPr>
            <w:tcW w:type="dxa" w:w="1728"/>
          </w:tcPr>
          <w:p>
            <w:r>
              <w:rPr>
                <w:sz w:val="18"/>
              </w:rPr>
              <w:t>33.9%</w:t>
            </w:r>
          </w:p>
        </w:tc>
      </w:tr>
    </w:tbl>
    <w:p/>
    <w:p>
      <w:pPr>
        <w:jc w:val="center"/>
      </w:pPr>
      <w:r>
        <w:drawing>
          <wp:inline xmlns:a="http://schemas.openxmlformats.org/drawingml/2006/main" xmlns:pic="http://schemas.openxmlformats.org/drawingml/2006/picture">
            <wp:extent cx="5760720" cy="2698543"/>
            <wp:docPr id="15" name="Picture 15"/>
            <wp:cNvGraphicFramePr>
              <a:graphicFrameLocks noChangeAspect="1"/>
            </wp:cNvGraphicFramePr>
            <a:graphic>
              <a:graphicData uri="http://schemas.openxmlformats.org/drawingml/2006/picture">
                <pic:pic>
                  <pic:nvPicPr>
                    <pic:cNvPr id="0" name="fig16_field_accuracy.png"/>
                    <pic:cNvPicPr/>
                  </pic:nvPicPr>
                  <pic:blipFill>
                    <a:blip r:embed="rId23"/>
                    <a:stretch>
                      <a:fillRect/>
                    </a:stretch>
                  </pic:blipFill>
                  <pic:spPr>
                    <a:xfrm>
                      <a:off x="0" y="0"/>
                      <a:ext cx="5760720" cy="2698543"/>
                    </a:xfrm>
                    <a:prstGeom prst="rect"/>
                  </pic:spPr>
                </pic:pic>
              </a:graphicData>
            </a:graphic>
          </wp:inline>
        </w:drawing>
      </w:r>
    </w:p>
    <w:p>
      <w:pPr>
        <w:jc w:val="center"/>
      </w:pPr>
      <w:r>
        <w:rPr>
          <w:i/>
          <w:color w:val="7B8994"/>
          <w:sz w:val="18"/>
        </w:rPr>
        <w:t>Figure 15. Per-field extraction accuracy against the adjudicated gold standard.</w:t>
      </w:r>
    </w:p>
    <w:p>
      <w:r>
        <w:rPr>
          <w:i w:val="0"/>
        </w:rPr>
        <w:t>Accuracy and coverage must be read together. qwen2.5:3b returns nothing on 277 of 330 segments for prompt_level, so its 4.2% is not comparable to the others as a quality figure.</w:t>
      </w:r>
    </w:p>
    <w:p>
      <w:r>
        <w:rPr>
          <w:b/>
          <w:sz w:val="19"/>
        </w:rPr>
        <w:t>Table 6. Values asserted where the gold standard records that the transcript supports none. Domain and prompt_level are omitted: gold records only 3 and 2 nulls for them, too few to rate.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Generator</w:t>
            </w:r>
          </w:p>
        </w:tc>
        <w:tc>
          <w:tcPr>
            <w:tcW w:type="dxa" w:w="2880"/>
          </w:tcPr>
          <w:p>
            <w:r>
              <w:rPr>
                <w:b/>
                <w:sz w:val="18"/>
              </w:rPr>
              <w:t>modality (n=77)</w:t>
            </w:r>
          </w:p>
        </w:tc>
        <w:tc>
          <w:tcPr>
            <w:tcW w:type="dxa" w:w="2880"/>
          </w:tcPr>
          <w:p>
            <w:r>
              <w:rPr>
                <w:b/>
                <w:sz w:val="18"/>
              </w:rPr>
              <w:t>outcome (n=115)</w:t>
            </w:r>
          </w:p>
        </w:tc>
      </w:tr>
      <w:tr>
        <w:tc>
          <w:tcPr>
            <w:tcW w:type="dxa" w:w="2880"/>
          </w:tcPr>
          <w:p>
            <w:r>
              <w:rPr>
                <w:sz w:val="18"/>
              </w:rPr>
              <w:t>llama3.2:latest</w:t>
            </w:r>
          </w:p>
        </w:tc>
        <w:tc>
          <w:tcPr>
            <w:tcW w:type="dxa" w:w="2880"/>
          </w:tcPr>
          <w:p>
            <w:r>
              <w:rPr>
                <w:sz w:val="18"/>
              </w:rPr>
              <w:t>72 (93.5%)</w:t>
            </w:r>
          </w:p>
        </w:tc>
        <w:tc>
          <w:tcPr>
            <w:tcW w:type="dxa" w:w="2880"/>
          </w:tcPr>
          <w:p>
            <w:r>
              <w:rPr>
                <w:sz w:val="18"/>
              </w:rPr>
              <w:t>87 (75.6%)</w:t>
            </w:r>
          </w:p>
        </w:tc>
      </w:tr>
      <w:tr>
        <w:tc>
          <w:tcPr>
            <w:tcW w:type="dxa" w:w="2880"/>
          </w:tcPr>
          <w:p>
            <w:r>
              <w:rPr>
                <w:sz w:val="18"/>
              </w:rPr>
              <w:t>qwen2.5:3b</w:t>
            </w:r>
          </w:p>
        </w:tc>
        <w:tc>
          <w:tcPr>
            <w:tcW w:type="dxa" w:w="2880"/>
          </w:tcPr>
          <w:p>
            <w:r>
              <w:rPr>
                <w:sz w:val="18"/>
              </w:rPr>
              <w:t>15 (19.5%)</w:t>
            </w:r>
          </w:p>
        </w:tc>
        <w:tc>
          <w:tcPr>
            <w:tcW w:type="dxa" w:w="2880"/>
          </w:tcPr>
          <w:p>
            <w:r>
              <w:rPr>
                <w:sz w:val="18"/>
              </w:rPr>
              <w:t>46 (40.0%)</w:t>
            </w:r>
          </w:p>
        </w:tc>
      </w:tr>
      <w:tr>
        <w:tc>
          <w:tcPr>
            <w:tcW w:type="dxa" w:w="2880"/>
          </w:tcPr>
          <w:p>
            <w:r>
              <w:rPr>
                <w:sz w:val="18"/>
              </w:rPr>
              <w:t>qwen2.5:7b</w:t>
            </w:r>
          </w:p>
        </w:tc>
        <w:tc>
          <w:tcPr>
            <w:tcW w:type="dxa" w:w="2880"/>
          </w:tcPr>
          <w:p>
            <w:r>
              <w:rPr>
                <w:sz w:val="18"/>
              </w:rPr>
              <w:t>31 (40.3%)</w:t>
            </w:r>
          </w:p>
        </w:tc>
        <w:tc>
          <w:tcPr>
            <w:tcW w:type="dxa" w:w="2880"/>
          </w:tcPr>
          <w:p>
            <w:r>
              <w:rPr>
                <w:sz w:val="18"/>
              </w:rPr>
              <w:t>78 (67.8%)</w:t>
            </w:r>
          </w:p>
        </w:tc>
      </w:tr>
    </w:tbl>
    <w:p/>
    <w:p>
      <w:r>
        <w:rPr>
          <w:i w:val="0"/>
        </w:rPr>
        <w:t>This is the measurement the explicit null convention was designed to permit, and it bears directly on the requirement that an extraction provider must not generate field values unsupported by source text.</w:t>
      </w:r>
    </w:p>
    <w:p>
      <w:pPr>
        <w:jc w:val="center"/>
      </w:pPr>
      <w:r>
        <w:drawing>
          <wp:inline xmlns:a="http://schemas.openxmlformats.org/drawingml/2006/main" xmlns:pic="http://schemas.openxmlformats.org/drawingml/2006/picture">
            <wp:extent cx="4206240" cy="2733811"/>
            <wp:docPr id="16" name="Picture 16"/>
            <wp:cNvGraphicFramePr>
              <a:graphicFrameLocks noChangeAspect="1"/>
            </wp:cNvGraphicFramePr>
            <a:graphic>
              <a:graphicData uri="http://schemas.openxmlformats.org/drawingml/2006/picture">
                <pic:pic>
                  <pic:nvPicPr>
                    <pic:cNvPr id="0" name="fig17_unsupported.png"/>
                    <pic:cNvPicPr/>
                  </pic:nvPicPr>
                  <pic:blipFill>
                    <a:blip r:embed="rId24"/>
                    <a:stretch>
                      <a:fillRect/>
                    </a:stretch>
                  </pic:blipFill>
                  <pic:spPr>
                    <a:xfrm>
                      <a:off x="0" y="0"/>
                      <a:ext cx="4206240" cy="2733811"/>
                    </a:xfrm>
                    <a:prstGeom prst="rect"/>
                  </pic:spPr>
                </pic:pic>
              </a:graphicData>
            </a:graphic>
          </wp:inline>
        </w:drawing>
      </w:r>
    </w:p>
    <w:p>
      <w:pPr>
        <w:jc w:val="center"/>
      </w:pPr>
      <w:r>
        <w:rPr>
          <w:i/>
          <w:color w:val="7B8994"/>
          <w:sz w:val="18"/>
        </w:rPr>
        <w:t>Figure 16. Values asserted where the transcript supports none.</w:t>
      </w:r>
    </w:p>
    <w:p>
      <w:r>
        <w:rPr>
          <w:b/>
          <w:sz w:val="19"/>
        </w:rPr>
        <w:t>Table 7. Whole-record accuracy (all four categorical fields acceptable) and the ceiling available to selection.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Selector</w:t>
            </w:r>
          </w:p>
        </w:tc>
        <w:tc>
          <w:tcPr>
            <w:tcW w:type="dxa" w:w="4320"/>
          </w:tcPr>
          <w:p>
            <w:r>
              <w:rPr>
                <w:b/>
                <w:sz w:val="18"/>
              </w:rPr>
              <w:t>Accuracy</w:t>
            </w:r>
          </w:p>
        </w:tc>
      </w:tr>
      <w:tr>
        <w:tc>
          <w:tcPr>
            <w:tcW w:type="dxa" w:w="4320"/>
          </w:tcPr>
          <w:p>
            <w:r>
              <w:rPr>
                <w:sz w:val="18"/>
              </w:rPr>
              <w:t>llama3.2:latest</w:t>
            </w:r>
          </w:p>
        </w:tc>
        <w:tc>
          <w:tcPr>
            <w:tcW w:type="dxa" w:w="4320"/>
          </w:tcPr>
          <w:p>
            <w:r>
              <w:rPr>
                <w:sz w:val="18"/>
              </w:rPr>
              <w:t>1.5%</w:t>
            </w:r>
          </w:p>
        </w:tc>
      </w:tr>
      <w:tr>
        <w:tc>
          <w:tcPr>
            <w:tcW w:type="dxa" w:w="4320"/>
          </w:tcPr>
          <w:p>
            <w:r>
              <w:rPr>
                <w:sz w:val="18"/>
              </w:rPr>
              <w:t>qwen2.5:3b</w:t>
            </w:r>
          </w:p>
        </w:tc>
        <w:tc>
          <w:tcPr>
            <w:tcW w:type="dxa" w:w="4320"/>
          </w:tcPr>
          <w:p>
            <w:r>
              <w:rPr>
                <w:sz w:val="18"/>
              </w:rPr>
              <w:t>0.3%</w:t>
            </w:r>
          </w:p>
        </w:tc>
      </w:tr>
      <w:tr>
        <w:tc>
          <w:tcPr>
            <w:tcW w:type="dxa" w:w="4320"/>
          </w:tcPr>
          <w:p>
            <w:r>
              <w:rPr>
                <w:sz w:val="18"/>
              </w:rPr>
              <w:t>qwen2.5:7b</w:t>
            </w:r>
          </w:p>
        </w:tc>
        <w:tc>
          <w:tcPr>
            <w:tcW w:type="dxa" w:w="4320"/>
          </w:tcPr>
          <w:p>
            <w:r>
              <w:rPr>
                <w:sz w:val="18"/>
              </w:rPr>
              <w:t>4.5%</w:t>
            </w:r>
          </w:p>
        </w:tc>
      </w:tr>
      <w:tr>
        <w:tc>
          <w:tcPr>
            <w:tcW w:type="dxa" w:w="4320"/>
          </w:tcPr>
          <w:p>
            <w:r>
              <w:rPr>
                <w:sz w:val="18"/>
              </w:rPr>
              <w:t>Oracle ceiling (best candidate per segment)</w:t>
            </w:r>
          </w:p>
        </w:tc>
        <w:tc>
          <w:tcPr>
            <w:tcW w:type="dxa" w:w="4320"/>
          </w:tcPr>
          <w:p>
            <w:r>
              <w:rPr>
                <w:sz w:val="18"/>
              </w:rPr>
              <w:t>6.1%</w:t>
            </w:r>
          </w:p>
        </w:tc>
      </w:tr>
      <w:tr>
        <w:tc>
          <w:tcPr>
            <w:tcW w:type="dxa" w:w="4320"/>
          </w:tcPr>
          <w:p>
            <w:r>
              <w:rPr>
                <w:sz w:val="18"/>
              </w:rPr>
              <w:t>Headroom available to reranking</w:t>
            </w:r>
          </w:p>
        </w:tc>
        <w:tc>
          <w:tcPr>
            <w:tcW w:type="dxa" w:w="4320"/>
          </w:tcPr>
          <w:p>
            <w:r>
              <w:rPr>
                <w:sz w:val="18"/>
              </w:rPr>
              <w:t>1.5%</w:t>
            </w:r>
          </w:p>
        </w:tc>
      </w:tr>
    </w:tbl>
    <w:p/>
    <w:p>
      <w:pPr>
        <w:jc w:val="center"/>
      </w:pPr>
      <w:r>
        <w:drawing>
          <wp:inline xmlns:a="http://schemas.openxmlformats.org/drawingml/2006/main" xmlns:pic="http://schemas.openxmlformats.org/drawingml/2006/picture">
            <wp:extent cx="5760720" cy="2364927"/>
            <wp:docPr id="17" name="Picture 17"/>
            <wp:cNvGraphicFramePr>
              <a:graphicFrameLocks noChangeAspect="1"/>
            </wp:cNvGraphicFramePr>
            <a:graphic>
              <a:graphicData uri="http://schemas.openxmlformats.org/drawingml/2006/picture">
                <pic:pic>
                  <pic:nvPicPr>
                    <pic:cNvPr id="0" name="fig18_record_ceiling.png"/>
                    <pic:cNvPicPr/>
                  </pic:nvPicPr>
                  <pic:blipFill>
                    <a:blip r:embed="rId25"/>
                    <a:stretch>
                      <a:fillRect/>
                    </a:stretch>
                  </pic:blipFill>
                  <pic:spPr>
                    <a:xfrm>
                      <a:off x="0" y="0"/>
                      <a:ext cx="5760720" cy="2364927"/>
                    </a:xfrm>
                    <a:prstGeom prst="rect"/>
                  </pic:spPr>
                </pic:pic>
              </a:graphicData>
            </a:graphic>
          </wp:inline>
        </w:drawing>
      </w:r>
    </w:p>
    <w:p>
      <w:pPr>
        <w:jc w:val="center"/>
      </w:pPr>
      <w:r>
        <w:rPr>
          <w:i/>
          <w:color w:val="7B8994"/>
          <w:sz w:val="18"/>
        </w:rPr>
        <w:t>Figure 17. Whole-record accuracy and the oracle ceiling. Headroom for any selector is 1.5 points — five segments of 330.</w:t>
      </w:r>
    </w:p>
    <w:p>
      <w:pPr>
        <w:jc w:val="center"/>
      </w:pPr>
      <w:r>
        <w:drawing>
          <wp:inline xmlns:a="http://schemas.openxmlformats.org/drawingml/2006/main" xmlns:pic="http://schemas.openxmlformats.org/drawingml/2006/picture">
            <wp:extent cx="5760720" cy="2447846"/>
            <wp:docPr id="18" name="Picture 18"/>
            <wp:cNvGraphicFramePr>
              <a:graphicFrameLocks noChangeAspect="1"/>
            </wp:cNvGraphicFramePr>
            <a:graphic>
              <a:graphicData uri="http://schemas.openxmlformats.org/drawingml/2006/picture">
                <pic:pic>
                  <pic:nvPicPr>
                    <pic:cNvPr id="0" name="fig19_behavior_overlap.png"/>
                    <pic:cNvPicPr/>
                  </pic:nvPicPr>
                  <pic:blipFill>
                    <a:blip r:embed="rId26"/>
                    <a:stretch>
                      <a:fillRect/>
                    </a:stretch>
                  </pic:blipFill>
                  <pic:spPr>
                    <a:xfrm>
                      <a:off x="0" y="0"/>
                      <a:ext cx="5760720" cy="2447846"/>
                    </a:xfrm>
                    <a:prstGeom prst="rect"/>
                  </pic:spPr>
                </pic:pic>
              </a:graphicData>
            </a:graphic>
          </wp:inline>
        </w:drawing>
      </w:r>
    </w:p>
    <w:p>
      <w:pPr>
        <w:jc w:val="center"/>
      </w:pPr>
      <w:r>
        <w:rPr>
          <w:i/>
          <w:color w:val="7B8994"/>
          <w:sz w:val="18"/>
        </w:rPr>
        <w:t>Figure 18. Free-text behavior against the human reference band. The two annotators reach a median overlap of 0.316 on the same segment; models sit near 0.08.</w:t>
      </w:r>
    </w:p>
    <w:p>
      <w:pPr>
        <w:pStyle w:val="Heading2"/>
      </w:pPr>
      <w:r>
        <w:t>A larger, more recent generator</w:t>
      </w:r>
    </w:p>
    <w:p>
      <w:r>
        <w:rPr>
          <w:i w:val="0"/>
        </w:rPr>
        <w:t>The three generators above are small local models, which invites the objection that the failures reported are failures of model size rather than of the task. A fourth generator, qwen3:14b, was therefore run over the same 330 segments and scored against the same gold standard. Because gold holds values authored from the transcript rather than judgements of model output, this cost no additional annotation — which is what the model-independent annotation design was for. The fourth generator contributed no candidates to the MARS run or to the three-generator ceiling reported above, and is reported separately for that reason.</w:t>
      </w:r>
    </w:p>
    <w:p>
      <w:r>
        <w:rPr>
          <w:b/>
          <w:sz w:val="19"/>
        </w:rPr>
        <w:t>Table 8. Four generators against the same adjudicated gold (n = 330). Accuracy and abstention are means across the four categorical fields; unsupported assertion is pooled over the segments gold records as null.</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Generator</w:t>
            </w:r>
          </w:p>
        </w:tc>
        <w:tc>
          <w:tcPr>
            <w:tcW w:type="dxa" w:w="2160"/>
          </w:tcPr>
          <w:p>
            <w:r>
              <w:rPr>
                <w:b/>
                <w:sz w:val="18"/>
              </w:rPr>
              <w:t>Mean accuracy</w:t>
            </w:r>
          </w:p>
        </w:tc>
        <w:tc>
          <w:tcPr>
            <w:tcW w:type="dxa" w:w="2160"/>
          </w:tcPr>
          <w:p>
            <w:r>
              <w:rPr>
                <w:b/>
                <w:sz w:val="18"/>
              </w:rPr>
              <w:t>Abstention</w:t>
            </w:r>
          </w:p>
        </w:tc>
        <w:tc>
          <w:tcPr>
            <w:tcW w:type="dxa" w:w="2160"/>
          </w:tcPr>
          <w:p>
            <w:r>
              <w:rPr>
                <w:b/>
                <w:sz w:val="18"/>
              </w:rPr>
              <w:t>Unsupported assertions</w:t>
            </w:r>
          </w:p>
        </w:tc>
      </w:tr>
      <w:tr>
        <w:tc>
          <w:tcPr>
            <w:tcW w:type="dxa" w:w="2160"/>
          </w:tcPr>
          <w:p>
            <w:r>
              <w:rPr>
                <w:sz w:val="18"/>
              </w:rPr>
              <w:t>llama3.2:latest</w:t>
            </w:r>
          </w:p>
        </w:tc>
        <w:tc>
          <w:tcPr>
            <w:tcW w:type="dxa" w:w="2160"/>
          </w:tcPr>
          <w:p>
            <w:r>
              <w:rPr>
                <w:sz w:val="18"/>
              </w:rPr>
              <w:t>30.8%</w:t>
            </w:r>
          </w:p>
        </w:tc>
        <w:tc>
          <w:tcPr>
            <w:tcW w:type="dxa" w:w="2160"/>
          </w:tcPr>
          <w:p>
            <w:r>
              <w:rPr>
                <w:sz w:val="18"/>
              </w:rPr>
              <w:t>8.2%</w:t>
            </w:r>
          </w:p>
        </w:tc>
        <w:tc>
          <w:tcPr>
            <w:tcW w:type="dxa" w:w="2160"/>
          </w:tcPr>
          <w:p>
            <w:r>
              <w:rPr>
                <w:sz w:val="18"/>
              </w:rPr>
              <w:t>164/197 (83%)</w:t>
            </w:r>
          </w:p>
        </w:tc>
      </w:tr>
      <w:tr>
        <w:tc>
          <w:tcPr>
            <w:tcW w:type="dxa" w:w="2160"/>
          </w:tcPr>
          <w:p>
            <w:r>
              <w:rPr>
                <w:sz w:val="18"/>
              </w:rPr>
              <w:t>qwen2.5:3b</w:t>
            </w:r>
          </w:p>
        </w:tc>
        <w:tc>
          <w:tcPr>
            <w:tcW w:type="dxa" w:w="2160"/>
          </w:tcPr>
          <w:p>
            <w:r>
              <w:rPr>
                <w:sz w:val="18"/>
              </w:rPr>
              <w:t>20.4%</w:t>
            </w:r>
          </w:p>
        </w:tc>
        <w:tc>
          <w:tcPr>
            <w:tcW w:type="dxa" w:w="2160"/>
          </w:tcPr>
          <w:p>
            <w:r>
              <w:rPr>
                <w:sz w:val="18"/>
              </w:rPr>
              <w:t>48.1%</w:t>
            </w:r>
          </w:p>
        </w:tc>
        <w:tc>
          <w:tcPr>
            <w:tcW w:type="dxa" w:w="2160"/>
          </w:tcPr>
          <w:p>
            <w:r>
              <w:rPr>
                <w:sz w:val="18"/>
              </w:rPr>
              <w:t>61/197 (31%)</w:t>
            </w:r>
          </w:p>
        </w:tc>
      </w:tr>
      <w:tr>
        <w:tc>
          <w:tcPr>
            <w:tcW w:type="dxa" w:w="2160"/>
          </w:tcPr>
          <w:p>
            <w:r>
              <w:rPr>
                <w:sz w:val="18"/>
              </w:rPr>
              <w:t>qwen2.5:7b</w:t>
            </w:r>
          </w:p>
        </w:tc>
        <w:tc>
          <w:tcPr>
            <w:tcW w:type="dxa" w:w="2160"/>
          </w:tcPr>
          <w:p>
            <w:r>
              <w:rPr>
                <w:sz w:val="18"/>
              </w:rPr>
              <w:t>43.1%</w:t>
            </w:r>
          </w:p>
        </w:tc>
        <w:tc>
          <w:tcPr>
            <w:tcW w:type="dxa" w:w="2160"/>
          </w:tcPr>
          <w:p>
            <w:r>
              <w:rPr>
                <w:sz w:val="18"/>
              </w:rPr>
              <w:t>12.7%</w:t>
            </w:r>
          </w:p>
        </w:tc>
        <w:tc>
          <w:tcPr>
            <w:tcW w:type="dxa" w:w="2160"/>
          </w:tcPr>
          <w:p>
            <w:r>
              <w:rPr>
                <w:sz w:val="18"/>
              </w:rPr>
              <w:t>112/197 (57%)</w:t>
            </w:r>
          </w:p>
        </w:tc>
      </w:tr>
      <w:tr>
        <w:tc>
          <w:tcPr>
            <w:tcW w:type="dxa" w:w="2160"/>
          </w:tcPr>
          <w:p>
            <w:r>
              <w:rPr>
                <w:sz w:val="18"/>
              </w:rPr>
              <w:t>qwen3:14b</w:t>
            </w:r>
          </w:p>
        </w:tc>
        <w:tc>
          <w:tcPr>
            <w:tcW w:type="dxa" w:w="2160"/>
          </w:tcPr>
          <w:p>
            <w:r>
              <w:rPr>
                <w:sz w:val="18"/>
              </w:rPr>
              <w:t>42.0%</w:t>
            </w:r>
          </w:p>
        </w:tc>
        <w:tc>
          <w:tcPr>
            <w:tcW w:type="dxa" w:w="2160"/>
          </w:tcPr>
          <w:p>
            <w:r>
              <w:rPr>
                <w:sz w:val="18"/>
              </w:rPr>
              <w:t>2.9%</w:t>
            </w:r>
          </w:p>
        </w:tc>
        <w:tc>
          <w:tcPr>
            <w:tcW w:type="dxa" w:w="2160"/>
          </w:tcPr>
          <w:p>
            <w:r>
              <w:rPr>
                <w:sz w:val="18"/>
              </w:rPr>
              <w:t>191/197 (97%)</w:t>
            </w:r>
          </w:p>
        </w:tc>
      </w:tr>
    </w:tbl>
    <w:p/>
    <w:p>
      <w:r>
        <w:rPr>
          <w:i w:val="0"/>
        </w:rPr>
        <w:t>The larger, more recent model is not more accurate. Its mean field accuracy is statistically indistinguishable from the best of the smaller models, and its whole-record accuracy is lower. It is, however, markedly less safe: on modality it asserts a value on 76 of the 77 segments where the gold standard records that the transcript supports none, and on outcome 111 of 115.</w:t>
      </w:r>
    </w:p>
    <w:p>
      <w:r>
        <w:rPr>
          <w:i w:val="0"/>
        </w:rPr>
        <w:t>Within the four-model roster evaluated here, lower abstention coincided with higher unsupported assertion: the model abstaining on 48% of fields asserted unsupported values on 31% of opportunities, and the model abstaining on 3% asserted them on 97%. The ordering is consistent across all four, but four models is a descriptive observation rather than evidence of a general relationship, and it is offered as such. The weakest generator in the roster appears safest only because it so often declines. This property would be important in any future clinical or intervention-monitoring pathway, and it is not one that model selection ordinarily optimises for.</w:t>
      </w:r>
    </w:p>
    <w:p>
      <w:pPr>
        <w:jc w:val="center"/>
      </w:pPr>
      <w:r>
        <w:drawing>
          <wp:inline xmlns:a="http://schemas.openxmlformats.org/drawingml/2006/main" xmlns:pic="http://schemas.openxmlformats.org/drawingml/2006/picture">
            <wp:extent cx="5760720" cy="1913882"/>
            <wp:docPr id="19" name="Picture 19"/>
            <wp:cNvGraphicFramePr>
              <a:graphicFrameLocks noChangeAspect="1"/>
            </wp:cNvGraphicFramePr>
            <a:graphic>
              <a:graphicData uri="http://schemas.openxmlformats.org/drawingml/2006/picture">
                <pic:pic>
                  <pic:nvPicPr>
                    <pic:cNvPr id="0" name="fig22_extended_roster.png"/>
                    <pic:cNvPicPr/>
                  </pic:nvPicPr>
                  <pic:blipFill>
                    <a:blip r:embed="rId27"/>
                    <a:stretch>
                      <a:fillRect/>
                    </a:stretch>
                  </pic:blipFill>
                  <pic:spPr>
                    <a:xfrm>
                      <a:off x="0" y="0"/>
                      <a:ext cx="5760720" cy="1913882"/>
                    </a:xfrm>
                    <a:prstGeom prst="rect"/>
                  </pic:spPr>
                </pic:pic>
              </a:graphicData>
            </a:graphic>
          </wp:inline>
        </w:drawing>
      </w:r>
    </w:p>
    <w:p>
      <w:pPr>
        <w:jc w:val="center"/>
      </w:pPr>
      <w:r>
        <w:rPr>
          <w:i/>
          <w:color w:val="7B8994"/>
          <w:sz w:val="18"/>
        </w:rPr>
        <w:t>Figure 19. Left: per-field accuracy across four generators. Right: unsupported assertion against abstention rate. The four models are consistently ordered; with four points this is a descriptive observation, not an estimated relationship.</w:t>
      </w:r>
    </w:p>
    <w:p>
      <w:r>
        <w:rPr>
          <w:i w:val="0"/>
        </w:rPr>
        <w:t>Adding the fourth generator raised the oracle ceiling from 6.1% to 8.8%, so the roster did gain genuine diversity, while no single generator improved on the best of the original three.</w:t>
      </w:r>
    </w:p>
    <w:p>
      <w:r>
        <w:br w:type="page"/>
      </w:r>
    </w:p>
    <w:p>
      <w:pPr>
        <w:pStyle w:val="Heading2"/>
      </w:pPr>
      <w:r>
        <w:t>Multi-judge reranking (MARS)</w:t>
      </w:r>
    </w:p>
    <w:p>
      <w:r>
        <w:rPr>
          <w:i w:val="0"/>
        </w:rPr>
        <w:t>Judges: llama3.2:latest, qwen2.5:3b, qwen2.5:7b, mistral:latest, qwen3:14b. Agreement threshold 0.5, minimum eligible judges 2. Judge eligibility removes any model that generated a candidate for the segment, leaving three eligible judges on 124 rerank segments and two on 41. The maximum per-judge discard rate in the reported run was 1.8%.</w:t>
      </w:r>
    </w:p>
    <w:p>
      <w:r>
        <w:rPr>
          <w:i/>
        </w:rPr>
        <w:t>An earlier run of this configuration reported 205 successes and looked unremarkable. In it, one judge — a reasoning model whose chain of thought consumed the entire token budget before an answer was emitted — was discarded as unparseable on 165 of 165 rerank segments while still appearing on the panel. The run was discarded and the runner now reports a per-judge discard rate so the failure cannot recur silently.</w:t>
      </w:r>
    </w:p>
    <w:p>
      <w:r>
        <w:rPr>
          <w:b/>
          <w:sz w:val="19"/>
        </w:rPr>
        <w:t>Table 9. MARS outcomes (n = 330).</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Outcome</w:t>
            </w:r>
          </w:p>
        </w:tc>
        <w:tc>
          <w:tcPr>
            <w:tcW w:type="dxa" w:w="2880"/>
          </w:tcPr>
          <w:p>
            <w:r>
              <w:rPr>
                <w:b/>
                <w:sz w:val="18"/>
              </w:rPr>
              <w:t>n</w:t>
            </w:r>
          </w:p>
        </w:tc>
        <w:tc>
          <w:tcPr>
            <w:tcW w:type="dxa" w:w="2880"/>
          </w:tcPr>
          <w:p>
            <w:r>
              <w:rPr>
                <w:b/>
                <w:sz w:val="18"/>
              </w:rPr>
              <w:t>Share</w:t>
            </w:r>
          </w:p>
        </w:tc>
      </w:tr>
      <w:tr>
        <w:tc>
          <w:tcPr>
            <w:tcW w:type="dxa" w:w="2880"/>
          </w:tcPr>
          <w:p>
            <w:r>
              <w:rPr>
                <w:sz w:val="18"/>
              </w:rPr>
              <w:t>Record returned</w:t>
            </w:r>
          </w:p>
        </w:tc>
        <w:tc>
          <w:tcPr>
            <w:tcW w:type="dxa" w:w="2880"/>
          </w:tcPr>
          <w:p>
            <w:r>
              <w:rPr>
                <w:sz w:val="18"/>
              </w:rPr>
              <w:t>265</w:t>
            </w:r>
          </w:p>
        </w:tc>
        <w:tc>
          <w:tcPr>
            <w:tcW w:type="dxa" w:w="2880"/>
          </w:tcPr>
          <w:p>
            <w:r>
              <w:rPr>
                <w:sz w:val="18"/>
              </w:rPr>
              <w:t>80.3%</w:t>
            </w:r>
          </w:p>
        </w:tc>
      </w:tr>
      <w:tr>
        <w:tc>
          <w:tcPr>
            <w:tcW w:type="dxa" w:w="2880"/>
          </w:tcPr>
          <w:p>
            <w:r>
              <w:rPr>
                <w:sz w:val="18"/>
              </w:rPr>
              <w:t>judge disagreement</w:t>
            </w:r>
          </w:p>
        </w:tc>
        <w:tc>
          <w:tcPr>
            <w:tcW w:type="dxa" w:w="2880"/>
          </w:tcPr>
          <w:p>
            <w:r>
              <w:rPr>
                <w:sz w:val="18"/>
              </w:rPr>
              <w:t>21</w:t>
            </w:r>
          </w:p>
        </w:tc>
        <w:tc>
          <w:tcPr>
            <w:tcW w:type="dxa" w:w="2880"/>
          </w:tcPr>
          <w:p>
            <w:r>
              <w:rPr>
                <w:sz w:val="18"/>
              </w:rPr>
              <w:t>6.4%</w:t>
            </w:r>
          </w:p>
        </w:tc>
      </w:tr>
      <w:tr>
        <w:tc>
          <w:tcPr>
            <w:tcW w:type="dxa" w:w="2880"/>
          </w:tcPr>
          <w:p>
            <w:r>
              <w:rPr>
                <w:sz w:val="18"/>
              </w:rPr>
              <w:t>no reviewable candidate</w:t>
            </w:r>
          </w:p>
        </w:tc>
        <w:tc>
          <w:tcPr>
            <w:tcW w:type="dxa" w:w="2880"/>
          </w:tcPr>
          <w:p>
            <w:r>
              <w:rPr>
                <w:sz w:val="18"/>
              </w:rPr>
              <w:t>42</w:t>
            </w:r>
          </w:p>
        </w:tc>
        <w:tc>
          <w:tcPr>
            <w:tcW w:type="dxa" w:w="2880"/>
          </w:tcPr>
          <w:p>
            <w:r>
              <w:rPr>
                <w:sz w:val="18"/>
              </w:rPr>
              <w:t>12.7%</w:t>
            </w:r>
          </w:p>
        </w:tc>
      </w:tr>
      <w:tr>
        <w:tc>
          <w:tcPr>
            <w:tcW w:type="dxa" w:w="2880"/>
          </w:tcPr>
          <w:p>
            <w:r>
              <w:rPr>
                <w:sz w:val="18"/>
              </w:rPr>
              <w:t>insufficient valid judge responses</w:t>
            </w:r>
          </w:p>
        </w:tc>
        <w:tc>
          <w:tcPr>
            <w:tcW w:type="dxa" w:w="2880"/>
          </w:tcPr>
          <w:p>
            <w:r>
              <w:rPr>
                <w:sz w:val="18"/>
              </w:rPr>
              <w:t>2</w:t>
            </w:r>
          </w:p>
        </w:tc>
        <w:tc>
          <w:tcPr>
            <w:tcW w:type="dxa" w:w="2880"/>
          </w:tcPr>
          <w:p>
            <w:r>
              <w:rPr>
                <w:sz w:val="18"/>
              </w:rPr>
              <w:t>0.6%</w:t>
            </w:r>
          </w:p>
        </w:tc>
      </w:tr>
    </w:tbl>
    <w:p/>
    <w:p>
      <w:pPr>
        <w:jc w:val="center"/>
      </w:pPr>
      <w:r>
        <w:drawing>
          <wp:inline xmlns:a="http://schemas.openxmlformats.org/drawingml/2006/main" xmlns:pic="http://schemas.openxmlformats.org/drawingml/2006/picture">
            <wp:extent cx="5760720" cy="1688722"/>
            <wp:docPr id="20" name="Picture 20"/>
            <wp:cNvGraphicFramePr>
              <a:graphicFrameLocks noChangeAspect="1"/>
            </wp:cNvGraphicFramePr>
            <a:graphic>
              <a:graphicData uri="http://schemas.openxmlformats.org/drawingml/2006/picture">
                <pic:pic>
                  <pic:nvPicPr>
                    <pic:cNvPr id="0" name="fig20_mars_outcomes.png"/>
                    <pic:cNvPicPr/>
                  </pic:nvPicPr>
                  <pic:blipFill>
                    <a:blip r:embed="rId28"/>
                    <a:stretch>
                      <a:fillRect/>
                    </a:stretch>
                  </pic:blipFill>
                  <pic:spPr>
                    <a:xfrm>
                      <a:off x="0" y="0"/>
                      <a:ext cx="5760720" cy="1688722"/>
                    </a:xfrm>
                    <a:prstGeom prst="rect"/>
                  </pic:spPr>
                </pic:pic>
              </a:graphicData>
            </a:graphic>
          </wp:inline>
        </w:drawing>
      </w:r>
    </w:p>
    <w:p>
      <w:pPr>
        <w:jc w:val="center"/>
      </w:pPr>
      <w:r>
        <w:rPr>
          <w:i/>
          <w:color w:val="7B8994"/>
          <w:sz w:val="18"/>
        </w:rPr>
        <w:t>Figure 20. MARS outcome profile and whole-record accuracy against the best single generator.</w:t>
      </w:r>
    </w:p>
    <w:p>
      <w:r>
        <w:rPr>
          <w:i w:val="0"/>
        </w:rPr>
        <w:t>Whole-record accuracy over every returned record is the wrong instrument for asking whether reranking helps: it includes the 123 single-candidate short-circuits where no selection occurred, and it fires on 4.5% of segments. Selection is therefore measured on the 142 judged segments, field by field.</w:t>
      </w:r>
    </w:p>
    <w:p>
      <w:r>
        <w:rPr>
          <w:b/>
          <w:sz w:val="19"/>
        </w:rPr>
        <w:t>Table 10. Per-field accuracy of three selection policies (142 judged segments).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Selector</w:t>
            </w:r>
          </w:p>
        </w:tc>
        <w:tc>
          <w:tcPr>
            <w:tcW w:type="dxa" w:w="1440"/>
          </w:tcPr>
          <w:p>
            <w:r>
              <w:rPr>
                <w:b/>
                <w:sz w:val="18"/>
              </w:rPr>
              <w:t>domain</w:t>
            </w:r>
          </w:p>
        </w:tc>
        <w:tc>
          <w:tcPr>
            <w:tcW w:type="dxa" w:w="1440"/>
          </w:tcPr>
          <w:p>
            <w:r>
              <w:rPr>
                <w:b/>
                <w:sz w:val="18"/>
              </w:rPr>
              <w:t>modality</w:t>
            </w:r>
          </w:p>
        </w:tc>
        <w:tc>
          <w:tcPr>
            <w:tcW w:type="dxa" w:w="1440"/>
          </w:tcPr>
          <w:p>
            <w:r>
              <w:rPr>
                <w:b/>
                <w:sz w:val="18"/>
              </w:rPr>
              <w:t>prompt_level</w:t>
            </w:r>
          </w:p>
        </w:tc>
        <w:tc>
          <w:tcPr>
            <w:tcW w:type="dxa" w:w="1440"/>
          </w:tcPr>
          <w:p>
            <w:r>
              <w:rPr>
                <w:b/>
                <w:sz w:val="18"/>
              </w:rPr>
              <w:t>outcome</w:t>
            </w:r>
          </w:p>
        </w:tc>
        <w:tc>
          <w:tcPr>
            <w:tcW w:type="dxa" w:w="1440"/>
          </w:tcPr>
          <w:p>
            <w:r>
              <w:rPr>
                <w:b/>
                <w:sz w:val="18"/>
              </w:rPr>
              <w:t>Mean</w:t>
            </w:r>
          </w:p>
        </w:tc>
      </w:tr>
      <w:tr>
        <w:tc>
          <w:tcPr>
            <w:tcW w:type="dxa" w:w="1440"/>
          </w:tcPr>
          <w:p>
            <w:r>
              <w:rPr>
                <w:sz w:val="18"/>
              </w:rPr>
              <w:t>Best generator</w:t>
            </w:r>
          </w:p>
        </w:tc>
        <w:tc>
          <w:tcPr>
            <w:tcW w:type="dxa" w:w="1440"/>
          </w:tcPr>
          <w:p>
            <w:r>
              <w:rPr>
                <w:sz w:val="18"/>
              </w:rPr>
              <w:t>45.8%</w:t>
            </w:r>
          </w:p>
        </w:tc>
        <w:tc>
          <w:tcPr>
            <w:tcW w:type="dxa" w:w="1440"/>
          </w:tcPr>
          <w:p>
            <w:r>
              <w:rPr>
                <w:sz w:val="18"/>
              </w:rPr>
              <w:t>77.5%</w:t>
            </w:r>
          </w:p>
        </w:tc>
        <w:tc>
          <w:tcPr>
            <w:tcW w:type="dxa" w:w="1440"/>
          </w:tcPr>
          <w:p>
            <w:r>
              <w:rPr>
                <w:sz w:val="18"/>
              </w:rPr>
              <w:t>35.9%</w:t>
            </w:r>
          </w:p>
        </w:tc>
        <w:tc>
          <w:tcPr>
            <w:tcW w:type="dxa" w:w="1440"/>
          </w:tcPr>
          <w:p>
            <w:r>
              <w:rPr>
                <w:sz w:val="18"/>
              </w:rPr>
              <w:t>30.3%</w:t>
            </w:r>
          </w:p>
        </w:tc>
        <w:tc>
          <w:tcPr>
            <w:tcW w:type="dxa" w:w="1440"/>
          </w:tcPr>
          <w:p>
            <w:r>
              <w:rPr>
                <w:sz w:val="18"/>
              </w:rPr>
              <w:t>47.4%</w:t>
            </w:r>
          </w:p>
        </w:tc>
      </w:tr>
      <w:tr>
        <w:tc>
          <w:tcPr>
            <w:tcW w:type="dxa" w:w="1440"/>
          </w:tcPr>
          <w:p>
            <w:r>
              <w:rPr>
                <w:sz w:val="18"/>
              </w:rPr>
              <w:t>MARS</w:t>
            </w:r>
          </w:p>
        </w:tc>
        <w:tc>
          <w:tcPr>
            <w:tcW w:type="dxa" w:w="1440"/>
          </w:tcPr>
          <w:p>
            <w:r>
              <w:rPr>
                <w:sz w:val="18"/>
              </w:rPr>
              <w:t>33.1%</w:t>
            </w:r>
          </w:p>
        </w:tc>
        <w:tc>
          <w:tcPr>
            <w:tcW w:type="dxa" w:w="1440"/>
          </w:tcPr>
          <w:p>
            <w:r>
              <w:rPr>
                <w:sz w:val="18"/>
              </w:rPr>
              <w:t>74.7%</w:t>
            </w:r>
          </w:p>
        </w:tc>
        <w:tc>
          <w:tcPr>
            <w:tcW w:type="dxa" w:w="1440"/>
          </w:tcPr>
          <w:p>
            <w:r>
              <w:rPr>
                <w:sz w:val="18"/>
              </w:rPr>
              <w:t>33.8%</w:t>
            </w:r>
          </w:p>
        </w:tc>
        <w:tc>
          <w:tcPr>
            <w:tcW w:type="dxa" w:w="1440"/>
          </w:tcPr>
          <w:p>
            <w:r>
              <w:rPr>
                <w:sz w:val="18"/>
              </w:rPr>
              <w:t>32.4%</w:t>
            </w:r>
          </w:p>
        </w:tc>
        <w:tc>
          <w:tcPr>
            <w:tcW w:type="dxa" w:w="1440"/>
          </w:tcPr>
          <w:p>
            <w:r>
              <w:rPr>
                <w:sz w:val="18"/>
              </w:rPr>
              <w:t>43.5%</w:t>
            </w:r>
          </w:p>
        </w:tc>
      </w:tr>
      <w:tr>
        <w:tc>
          <w:tcPr>
            <w:tcW w:type="dxa" w:w="1440"/>
          </w:tcPr>
          <w:p>
            <w:r>
              <w:rPr>
                <w:sz w:val="18"/>
              </w:rPr>
              <w:t>Random candidate</w:t>
            </w:r>
          </w:p>
        </w:tc>
        <w:tc>
          <w:tcPr>
            <w:tcW w:type="dxa" w:w="1440"/>
          </w:tcPr>
          <w:p>
            <w:r>
              <w:rPr>
                <w:sz w:val="18"/>
              </w:rPr>
              <w:t>22.3%</w:t>
            </w:r>
          </w:p>
        </w:tc>
        <w:tc>
          <w:tcPr>
            <w:tcW w:type="dxa" w:w="1440"/>
          </w:tcPr>
          <w:p>
            <w:r>
              <w:rPr>
                <w:sz w:val="18"/>
              </w:rPr>
              <w:t>55.6%</w:t>
            </w:r>
          </w:p>
        </w:tc>
        <w:tc>
          <w:tcPr>
            <w:tcW w:type="dxa" w:w="1440"/>
          </w:tcPr>
          <w:p>
            <w:r>
              <w:rPr>
                <w:sz w:val="18"/>
              </w:rPr>
              <w:t>23.5%</w:t>
            </w:r>
          </w:p>
        </w:tc>
        <w:tc>
          <w:tcPr>
            <w:tcW w:type="dxa" w:w="1440"/>
          </w:tcPr>
          <w:p>
            <w:r>
              <w:rPr>
                <w:sz w:val="18"/>
              </w:rPr>
              <w:t>28.5%</w:t>
            </w:r>
          </w:p>
        </w:tc>
        <w:tc>
          <w:tcPr>
            <w:tcW w:type="dxa" w:w="1440"/>
          </w:tcPr>
          <w:p>
            <w:r>
              <w:rPr>
                <w:sz w:val="18"/>
              </w:rPr>
              <w:t>32.5%</w:t>
            </w:r>
          </w:p>
        </w:tc>
      </w:tr>
    </w:tbl>
    <w:p/>
    <w:p>
      <w:r>
        <w:rPr>
          <w:b/>
          <w:sz w:val="19"/>
        </w:rPr>
        <w:t>Table 11. Paired differences, 10,000 bootstrap replicates over segments. Asterisk marks an interval excluding zero.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Field</w:t>
            </w:r>
          </w:p>
        </w:tc>
        <w:tc>
          <w:tcPr>
            <w:tcW w:type="dxa" w:w="2880"/>
          </w:tcPr>
          <w:p>
            <w:r>
              <w:rPr>
                <w:b/>
                <w:sz w:val="18"/>
              </w:rPr>
              <w:t>MARS − random candidate</w:t>
            </w:r>
          </w:p>
        </w:tc>
        <w:tc>
          <w:tcPr>
            <w:tcW w:type="dxa" w:w="2880"/>
          </w:tcPr>
          <w:p>
            <w:r>
              <w:rPr>
                <w:b/>
                <w:sz w:val="18"/>
              </w:rPr>
              <w:t>MARS − best generator</w:t>
            </w:r>
          </w:p>
        </w:tc>
      </w:tr>
      <w:tr>
        <w:tc>
          <w:tcPr>
            <w:tcW w:type="dxa" w:w="2880"/>
          </w:tcPr>
          <w:p>
            <w:r>
              <w:rPr>
                <w:sz w:val="18"/>
              </w:rPr>
              <w:t>domain</w:t>
            </w:r>
          </w:p>
        </w:tc>
        <w:tc>
          <w:tcPr>
            <w:tcW w:type="dxa" w:w="2880"/>
          </w:tcPr>
          <w:p>
            <w:r>
              <w:rPr>
                <w:sz w:val="18"/>
              </w:rPr>
              <w:t>+7.8 [-0.7, +16.2]</w:t>
            </w:r>
          </w:p>
        </w:tc>
        <w:tc>
          <w:tcPr>
            <w:tcW w:type="dxa" w:w="2880"/>
          </w:tcPr>
          <w:p>
            <w:r>
              <w:rPr>
                <w:sz w:val="18"/>
              </w:rPr>
              <w:t>-12.7 [-19.7, -6.3]  *</w:t>
            </w:r>
          </w:p>
        </w:tc>
      </w:tr>
      <w:tr>
        <w:tc>
          <w:tcPr>
            <w:tcW w:type="dxa" w:w="2880"/>
          </w:tcPr>
          <w:p>
            <w:r>
              <w:rPr>
                <w:sz w:val="18"/>
              </w:rPr>
              <w:t>modality</w:t>
            </w:r>
          </w:p>
        </w:tc>
        <w:tc>
          <w:tcPr>
            <w:tcW w:type="dxa" w:w="2880"/>
          </w:tcPr>
          <w:p>
            <w:r>
              <w:rPr>
                <w:sz w:val="18"/>
              </w:rPr>
              <w:t>+19.0 [+9.9, +28.2]  *</w:t>
            </w:r>
          </w:p>
        </w:tc>
        <w:tc>
          <w:tcPr>
            <w:tcW w:type="dxa" w:w="2880"/>
          </w:tcPr>
          <w:p>
            <w:r>
              <w:rPr>
                <w:sz w:val="18"/>
              </w:rPr>
              <w:t>-2.8 [-8.5, +2.8]</w:t>
            </w:r>
          </w:p>
        </w:tc>
      </w:tr>
      <w:tr>
        <w:tc>
          <w:tcPr>
            <w:tcW w:type="dxa" w:w="2880"/>
          </w:tcPr>
          <w:p>
            <w:r>
              <w:rPr>
                <w:sz w:val="18"/>
              </w:rPr>
              <w:t>prompt_level</w:t>
            </w:r>
          </w:p>
        </w:tc>
        <w:tc>
          <w:tcPr>
            <w:tcW w:type="dxa" w:w="2880"/>
          </w:tcPr>
          <w:p>
            <w:r>
              <w:rPr>
                <w:sz w:val="18"/>
              </w:rPr>
              <w:t>+13.5 [+5.6, +21.8]  *</w:t>
            </w:r>
          </w:p>
        </w:tc>
        <w:tc>
          <w:tcPr>
            <w:tcW w:type="dxa" w:w="2880"/>
          </w:tcPr>
          <w:p>
            <w:r>
              <w:rPr>
                <w:sz w:val="18"/>
              </w:rPr>
              <w:t>-2.1 [-9.2, +4.2]</w:t>
            </w:r>
          </w:p>
        </w:tc>
      </w:tr>
      <w:tr>
        <w:tc>
          <w:tcPr>
            <w:tcW w:type="dxa" w:w="2880"/>
          </w:tcPr>
          <w:p>
            <w:r>
              <w:rPr>
                <w:sz w:val="18"/>
              </w:rPr>
              <w:t>outcome</w:t>
            </w:r>
          </w:p>
        </w:tc>
        <w:tc>
          <w:tcPr>
            <w:tcW w:type="dxa" w:w="2880"/>
          </w:tcPr>
          <w:p>
            <w:r>
              <w:rPr>
                <w:sz w:val="18"/>
              </w:rPr>
              <w:t>+5.7 [-1.4, +12.7]</w:t>
            </w:r>
          </w:p>
        </w:tc>
        <w:tc>
          <w:tcPr>
            <w:tcW w:type="dxa" w:w="2880"/>
          </w:tcPr>
          <w:p>
            <w:r>
              <w:rPr>
                <w:sz w:val="18"/>
              </w:rPr>
              <w:t>+2.1 [-2.8, +7.0]</w:t>
            </w:r>
          </w:p>
        </w:tc>
      </w:tr>
    </w:tbl>
    <w:p/>
    <w:p>
      <w:r>
        <w:rPr>
          <w:i w:val="0"/>
        </w:rPr>
        <w:t>Two findings point in opposite directions. Reranking carries real signal: MARS selects better than a random candidate on every field, significantly so on modality and prompt_level. It does not beat the simplest informed policy: against always using the strongest generator it is 3.9 points worse on average and significantly worse on domain.</w:t>
      </w:r>
    </w:p>
    <w:p>
      <w:r>
        <w:rPr>
          <w:i w:val="0"/>
        </w:rPr>
        <w:t>MARS selected the strongest generator on 58% of judged segments. On domain that model leads the roster by 32 points, so the 42% of selections that go elsewhere carry an expected cost of roughly 14.7 points against an observed deficit of 12.7. The judges rank candidates, while the accuracy difference lives in which model produced them. This is a property of a roster with a dominant generator, not a general result about reranking.</w:t>
      </w:r>
    </w:p>
    <w:p>
      <w:pPr>
        <w:jc w:val="center"/>
      </w:pPr>
      <w:r>
        <w:drawing>
          <wp:inline xmlns:a="http://schemas.openxmlformats.org/drawingml/2006/main" xmlns:pic="http://schemas.openxmlformats.org/drawingml/2006/picture">
            <wp:extent cx="5760720" cy="1896507"/>
            <wp:docPr id="21" name="Picture 21"/>
            <wp:cNvGraphicFramePr>
              <a:graphicFrameLocks noChangeAspect="1"/>
            </wp:cNvGraphicFramePr>
            <a:graphic>
              <a:graphicData uri="http://schemas.openxmlformats.org/drawingml/2006/picture">
                <pic:pic>
                  <pic:nvPicPr>
                    <pic:cNvPr id="0" name="fig21_selection.png"/>
                    <pic:cNvPicPr/>
                  </pic:nvPicPr>
                  <pic:blipFill>
                    <a:blip r:embed="rId29"/>
                    <a:stretch>
                      <a:fillRect/>
                    </a:stretch>
                  </pic:blipFill>
                  <pic:spPr>
                    <a:xfrm>
                      <a:off x="0" y="0"/>
                      <a:ext cx="5760720" cy="1896507"/>
                    </a:xfrm>
                    <a:prstGeom prst="rect"/>
                  </pic:spPr>
                </pic:pic>
              </a:graphicData>
            </a:graphic>
          </wp:inline>
        </w:drawing>
      </w:r>
    </w:p>
    <w:p>
      <w:pPr>
        <w:jc w:val="center"/>
      </w:pPr>
      <w:r>
        <w:rPr>
          <w:i/>
          <w:color w:val="7B8994"/>
          <w:sz w:val="18"/>
        </w:rPr>
        <w:t>Figure 21. Selection quality on the judged segments, against both baselines, with paired intervals.</w:t>
      </w:r>
    </w:p>
    <w:p>
      <w:pPr>
        <w:pStyle w:val="Heading2"/>
      </w:pPr>
      <w:r>
        <w:t>Reporting layer</w:t>
      </w:r>
    </w:p>
    <w:p>
      <w:r>
        <w:rPr>
          <w:i w:val="0"/>
        </w:rPr>
        <w:t>Initial prompt-only generation did not reliably conform to the report schema. Because that behaviour could reflect decoding configuration rather than model capability, generation was repeated using the model server's native schema-constrained decoding. All 11 outputs then conformed structurally, and these constrained outputs form the reporting evaluation reported here.</w:t>
      </w:r>
    </w:p>
    <w:p>
      <w:r>
        <w:rPr>
          <w:i w:val="0"/>
        </w:rPr>
        <w:t>Schema constraint guarantees the shape of the output, not the truth of the values inside it. Structural conformance and governance conformance are therefore measured separately, under three headings: content safety, evidence grounding, and abstention preservation.</w:t>
      </w:r>
    </w:p>
    <w:p>
      <w:r>
        <w:rPr>
          <w:b/>
          <w:sz w:val="19"/>
        </w:rPr>
        <w:t>Table 12. Reporting-layer evaluation (11 reports, one per child, qwen2.5:7b). Rates are pooled over assertions and references rather than averaged over reports.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Property</w:t>
            </w:r>
          </w:p>
        </w:tc>
        <w:tc>
          <w:tcPr>
            <w:tcW w:type="dxa" w:w="4320"/>
          </w:tcPr>
          <w:p>
            <w:r>
              <w:rPr>
                <w:b/>
                <w:sz w:val="18"/>
              </w:rPr>
              <w:t>Result</w:t>
            </w:r>
          </w:p>
        </w:tc>
      </w:tr>
      <w:tr>
        <w:tc>
          <w:tcPr>
            <w:tcW w:type="dxa" w:w="4320"/>
          </w:tcPr>
          <w:p>
            <w:r>
              <w:rPr>
                <w:sz w:val="18"/>
              </w:rPr>
              <w:t>Content safety — reports containing prohibited diagnostic, treatment, causal or prognostic content</w:t>
            </w:r>
          </w:p>
        </w:tc>
        <w:tc>
          <w:tcPr>
            <w:tcW w:type="dxa" w:w="4320"/>
          </w:tcPr>
          <w:p>
            <w:r>
              <w:rPr>
                <w:sz w:val="18"/>
              </w:rPr>
              <w:t>0 of 11</w:t>
            </w:r>
          </w:p>
        </w:tc>
      </w:tr>
      <w:tr>
        <w:tc>
          <w:tcPr>
            <w:tcW w:type="dxa" w:w="4320"/>
          </w:tcPr>
          <w:p>
            <w:r>
              <w:rPr>
                <w:sz w:val="18"/>
              </w:rPr>
              <w:t>Evidence grounding — numeric assertions absent from the evidence packet</w:t>
            </w:r>
          </w:p>
        </w:tc>
        <w:tc>
          <w:tcPr>
            <w:tcW w:type="dxa" w:w="4320"/>
          </w:tcPr>
          <w:p>
            <w:r>
              <w:rPr>
                <w:sz w:val="18"/>
              </w:rPr>
              <w:t>8 of 122 (6.6%)</w:t>
            </w:r>
          </w:p>
        </w:tc>
      </w:tr>
      <w:tr>
        <w:tc>
          <w:tcPr>
            <w:tcW w:type="dxa" w:w="4320"/>
          </w:tcPr>
          <w:p>
            <w:r>
              <w:rPr>
                <w:sz w:val="18"/>
              </w:rPr>
              <w:t>Evidence grounding — invalid evidence references</w:t>
            </w:r>
          </w:p>
        </w:tc>
        <w:tc>
          <w:tcPr>
            <w:tcW w:type="dxa" w:w="4320"/>
          </w:tcPr>
          <w:p>
            <w:r>
              <w:rPr>
                <w:sz w:val="18"/>
              </w:rPr>
              <w:t>2 of 836 (0.2%)</w:t>
            </w:r>
          </w:p>
        </w:tc>
      </w:tr>
      <w:tr>
        <w:tc>
          <w:tcPr>
            <w:tcW w:type="dxa" w:w="4320"/>
          </w:tcPr>
          <w:p>
            <w:r>
              <w:rPr>
                <w:sz w:val="18"/>
              </w:rPr>
              <w:t>Evidence grounding — reports with no ungrounded value</w:t>
            </w:r>
          </w:p>
        </w:tc>
        <w:tc>
          <w:tcPr>
            <w:tcW w:type="dxa" w:w="4320"/>
          </w:tcPr>
          <w:p>
            <w:r>
              <w:rPr>
                <w:sz w:val="18"/>
              </w:rPr>
              <w:t>3 of 11</w:t>
            </w:r>
          </w:p>
        </w:tc>
      </w:tr>
      <w:tr>
        <w:tc>
          <w:tcPr>
            <w:tcW w:type="dxa" w:w="4320"/>
          </w:tcPr>
          <w:p>
            <w:r>
              <w:rPr>
                <w:sz w:val="18"/>
              </w:rPr>
              <w:t>Abstention preservation — reports passing deterministic governance validation</w:t>
            </w:r>
          </w:p>
        </w:tc>
        <w:tc>
          <w:tcPr>
            <w:tcW w:type="dxa" w:w="4320"/>
          </w:tcPr>
          <w:p>
            <w:r>
              <w:rPr>
                <w:sz w:val="18"/>
              </w:rPr>
              <w:t>0 of 11</w:t>
            </w:r>
          </w:p>
        </w:tc>
      </w:tr>
    </w:tbl>
    <w:p/>
    <w:p>
      <w:r>
        <w:rPr>
          <w:i w:val="0"/>
        </w:rPr>
        <w:t>Schema-constrained decoding produced structurally conformant reports for all 11 children. Structural conformance did not, however, imply governance conformance. Across the 11 reports the model made 122 numerical assertions, of which 8 were not present in the supplied evidence packet, and produced 2 invalid evidence references out of 836. No report contained prohibited diagnostic, treatment, causal or prognostic content. Nevertheless, none of the 11 passed deterministic governance validation, because analytics intentionally withheld by the adequacy router — cross-setting and cross-contributor comparisons — were not acknowledged as unavailable. The model did not fabricate these analyses; it silently omitted their absence. The distinction matters because a reader cannot tell a deliberately withheld analysis from one that was simply not attempted.</w:t>
      </w:r>
    </w:p>
    <w:p>
      <w:r>
        <w:rPr>
          <w:i/>
        </w:rPr>
        <w:t>Deterministic governance validation, as used here, checks the evidence and governance contract rather than output structure: prohibited content, acknowledgement of insufficient evidence, and acknowledgement of each withheld metric. A failure is not malformed output.</w:t>
      </w:r>
    </w:p>
    <w:p>
      <w:r>
        <w:br w:type="page"/>
      </w:r>
    </w:p>
    <w:p>
      <w:pPr>
        <w:pStyle w:val="Heading1"/>
      </w:pPr>
      <w:r>
        <w:t>Discussion</w:t>
      </w:r>
    </w:p>
    <w:p>
      <w:pPr>
        <w:pStyle w:val="Heading2"/>
      </w:pPr>
      <w:r>
        <w:t>Principal results</w:t>
      </w:r>
    </w:p>
    <w:p>
      <w:r>
        <w:rPr>
          <w:i w:val="0"/>
        </w:rPr>
        <w:t>Three findings, in the order the pipeline produces them. First, low inter-annotator agreement on behavioural fields was largely definitional rather than a matter of annotator care: modality's round-1 kappa of 0.570 was 92% of the ceiling the annotators' own category usage permitted, and 254 of 355 categorical conflicts fell on three enumerable definitional boundaries. A written codebook, evaluated under a design with an untreated control field, was followed by improvements of +0.29 to +0.48 on the treated fields and no change in the control.</w:t>
      </w:r>
    </w:p>
    <w:p>
      <w:r>
        <w:rPr>
          <w:i w:val="0"/>
        </w:rPr>
        <w:t>Second, the extraction models assert clinical field values the source text does not support, at high rates. Where the gold standard records that a transcript supports no modality, one generator asserted one on 93.5% of occasions; on outcome, another did so on 67.8%. This is the measurement the explicit null convention was designed to permit, and it would be more consequential than accuracy in any future clinical or intervention-monitoring pathway, because an unsupported value is indistinguishable in form from a supported one once written. The corpora analysed here are archival research transcripts, not observations collected through such a pathway, so this is an argument about the failure mode rather than a demonstration of clinical impact.</w:t>
      </w:r>
    </w:p>
    <w:p>
      <w:r>
        <w:rPr>
          <w:i w:val="0"/>
        </w:rPr>
        <w:t>That failure is not a consequence of model size. A larger and more recent generator, added after annotation and scored against the same gold, matched the best smaller model on accuracy while asserting unsupported values on 97% of opportunities — the worst rate in the roster. Across all four generators the relationship between abstention and unsupported assertion was consistently ordered, which locates the safety property in a model's willingness to decline rather than in its capability — descriptively, across four models.</w:t>
      </w:r>
    </w:p>
    <w:p>
      <w:r>
        <w:rPr>
          <w:i w:val="0"/>
        </w:rPr>
        <w:t>The reporting-layer failure was not primarily one of prohibited content generation. The constraint design prevented diagnosis, treatment recommendation, causal inference and prognostic claims in all evaluated reports. The failure concerned instead the preservation of abstention state: when upstream governance withheld an analysis, the reporting model omitted the analysis without communicating that it had been withheld. Safe downstream reporting therefore requires preservation of both available evidence and unavailable evidence states — a model can appear restrained, declining to invent the withheld comparison, while still breaking the governance contract by not reporting that anything was withheld.</w:t>
      </w:r>
    </w:p>
    <w:p>
      <w:r>
        <w:rPr>
          <w:i w:val="0"/>
        </w:rPr>
        <w:t>Third, multi-model selection contains real signal but cannot rescue weak candidates. Reranking selected better than chance on every field, significantly on two, yet did not beat the simplest informed policy of always using the strongest generator. With an oracle ceiling of 6.1% on whole-record correctness, the total headroom available to any selector on this roster was 1.5 percentage points.</w:t>
      </w:r>
    </w:p>
    <w:p>
      <w:pPr>
        <w:pStyle w:val="Heading2"/>
      </w:pPr>
      <w:r>
        <w:t>Comparison with prior work</w:t>
      </w:r>
    </w:p>
    <w:p>
      <w:r>
        <w:rPr>
          <w:i w:val="0"/>
          <w:color w:val="C1666B"/>
        </w:rPr>
        <w:t>[TO COMPLETE BEFORE SUBMISSION] This section must situate the three findings against published work and is not yet written. It should cover at minimum: reported inter-annotator agreement for behavioural and communicative coding schemes, and whether kappa is commonly reported alongside its marginal-imposed ceiling; iterative codebook development in content analysis, and whether controlled before/after designs with an untreated field have been used to evaluate a codebook revision; prior measurement of unsupported or fabricated field values in clinical information extraction, and how explicit null annotation compares with the alternatives; and evaluations of multi-model selection or LLM-as-judge reranking in health applications, particularly any that report negative or roster-conditional results.</w:t>
      </w:r>
    </w:p>
    <w:p>
      <w:r>
        <w:rPr>
          <w:i w:val="0"/>
          <w:color w:val="C1666B"/>
        </w:rPr>
        <w:t>Two specific claims in this manuscript require citation rather than assertion: that maximum attainable kappa under fixed marginals is an established diagnostic rather than a contribution of this work, and that the Fleiss-Cohen-Everitt large-sample variance is the standard asymptotic estimator used here as a cross-check.</w:t>
      </w:r>
    </w:p>
    <w:p>
      <w:pPr>
        <w:pStyle w:val="Heading2"/>
      </w:pPr>
      <w:r>
        <w:t>Conclusions</w:t>
      </w:r>
    </w:p>
    <w:p>
      <w:r>
        <w:rPr>
          <w:i w:val="0"/>
        </w:rPr>
        <w:t>A rigorous evaluation process applied to this pipeline exposed failure at two layers. The annotation scheme was unstable in ways that a reported kappa alone would have concealed, and a written codebook measurably repaired it. The extraction models were not adequate for the task, and their most consequential failure was not inaccuracy but the assertion of unsupported clinical fields. Candidate selection did not compensate, and on this roster could not have: the ceiling was 6.1%.</w:t>
      </w:r>
    </w:p>
    <w:p>
      <w:r>
        <w:rPr>
          <w:i w:val="0"/>
        </w:rPr>
        <w:t>The practical implication for systems of this kind is that abstention and unsupported-assertion rates belong in the primary evaluation rather than in a safety appendix, and that a model-independent gold standard with explicit nulls is what makes them measurable. The generators evaluated here are small local models, and a stronger model may extract more accurately; whether it asserts fewer unsupported values is a separate question that this design is equipped to answer and that we regard as the more important one.</w:t>
      </w:r>
    </w:p>
    <w:p>
      <w:pPr>
        <w:pStyle w:val="Heading1"/>
      </w:pPr>
      <w:r>
        <w:t>Limitations</w:t>
      </w:r>
    </w:p>
    <w:p>
      <w:pPr>
        <w:pStyle w:val="ListBullet"/>
      </w:pPr>
      <w:r>
        <w:t>Evaluation-set membership is conditioned on model output. The batch retained only segments where all three generators produced an admissible response, so reported accuracy, unsupported-assertion rates and the oracle ceiling all describe segments the models could attempt. A model-independent held-out set has been frozen to address this but is not yet annotated, so the generalisation is currently assumed rather than demonstrated.</w:t>
      </w:r>
    </w:p>
    <w:p>
      <w:pPr>
        <w:pStyle w:val="ListBullet"/>
      </w:pPr>
      <w:r>
        <w:t>Two annotators, one pair, one corpus. Cohen's kappa describes this pair, and the codebook rules were written after observing where this pair diverged.</w:t>
      </w:r>
    </w:p>
    <w:p>
      <w:pPr>
        <w:pStyle w:val="ListBullet"/>
      </w:pPr>
      <w:r>
        <w:t>Agreement is not validity. Two annotators converging on a stated rule is reliability; whether the rule is correct is settled at adjudication and by argument, not by any statistic.</w:t>
      </w:r>
    </w:p>
    <w:p>
      <w:pPr>
        <w:pStyle w:val="ListBullet"/>
      </w:pPr>
      <w:r>
        <w:t>Conflicts were adjudicated by the two annotators jointly rather than by an independent third party. Decisions split 89/90 between their respective values, indicating neither dominated, which bounds but does not eliminate the concern.</w:t>
      </w:r>
    </w:p>
    <w:p>
      <w:pPr>
        <w:pStyle w:val="ListBullet"/>
      </w:pPr>
      <w:r>
        <w:t>Round 2 is a within-annotator repeat under instruction, not an independent replication. What two fresh annotators working under the codebook would achieve was not measured.</w:t>
      </w:r>
    </w:p>
    <w:p>
      <w:pPr>
        <w:pStyle w:val="ListBullet"/>
      </w:pPr>
      <w:r>
        <w:t>The generator roster is four local models. Adding a larger, more recent one did not improve accuracy, which weakens but does not eliminate the objection that a frontier model might. No frontier model was evaluated; that comparison is blocked on corpus terms for third-party API processing.</w:t>
      </w:r>
    </w:p>
    <w:p>
      <w:pPr>
        <w:pStyle w:val="ListBullet"/>
      </w:pPr>
      <w:r>
        <w:t>The MARS selection finding is roster-conditional: it follows from one generator dominating domain by 32 points. The finding is 'reranking loses to a dominant generator', not 'reranking does not work'.</w:t>
      </w:r>
    </w:p>
    <w:p>
      <w:pPr>
        <w:pStyle w:val="ListBullet"/>
      </w:pPr>
      <w:r>
        <w:t>The corpora are archival child-investigator and child-parent transcripts, not contributor observations submitted through the system's own interface. Transfer to the deployed input distribution is assumed, not demonstrated.</w:t>
      </w:r>
    </w:p>
    <w:p>
      <w:pPr>
        <w:pStyle w:val="ListBullet"/>
      </w:pPr>
      <w:r>
        <w:t>De-identification replaces names by roster and header match rather than by named-entity recognition, and over-redacts: 82 [NAME] placeholders appear across 62 of the 330 annotated segments, some of which are ordinary words that match a child pseudonym.</w:t>
      </w:r>
    </w:p>
    <w:p>
      <w:pPr>
        <w:pStyle w:val="Heading1"/>
      </w:pPr>
      <w:r>
        <w:t>Not measured</w:t>
      </w:r>
    </w:p>
    <w:p>
      <w:r>
        <w:rPr>
          <w:i w:val="0"/>
        </w:rPr>
        <w:t>Recorded so that no reader infers more than exists. The evaluation code for several of these exists and is tested; it reports that the quantity is unavailable rather than producing a number.</w:t>
      </w:r>
    </w:p>
    <w:p>
      <w:pPr>
        <w:pStyle w:val="ListBullet"/>
      </w:pPr>
      <w:r>
        <w:t>• Frontier-model comparison (claude-*): blocked on corpus terms for third-party API processing and on IRB determination.</w:t>
      </w:r>
    </w:p>
    <w:p>
      <w:pPr>
        <w:pStyle w:val="ListBullet"/>
      </w:pPr>
      <w:r>
        <w:t>• Reporting-layer groundedness under a frontier model, or under any model without schema-constrained decoding.</w:t>
      </w:r>
    </w:p>
    <w:p>
      <w:pPr>
        <w:pStyle w:val="ListBullet"/>
      </w:pPr>
      <w:r>
        <w:t>• Deterministic analytics, adequacy/abstention routing, validation engine: unit-tested as software, not evaluated as research (no result artefacts).</w:t>
      </w:r>
    </w:p>
    <w:p>
      <w:pPr>
        <w:pStyle w:val="ListBullet"/>
      </w:pPr>
      <w:r>
        <w:t>• Clinical or usability evaluation: no interventionist used the system.</w:t>
      </w:r>
    </w:p>
    <w:p>
      <w:pPr>
        <w:pStyle w:val="ListBullet"/>
      </w:pPr>
      <w:r>
        <w:t>• Whether reranking would pay on a balanced generator roster.</w:t>
      </w:r>
    </w:p>
    <w:p>
      <w:pPr>
        <w:pStyle w:val="ListBullet"/>
      </w:pPr>
      <w:r>
        <w:t>• Extraction accuracy on a sample not conditioned on model output: the held-out set is frozen (132 segments) but not yet annotated.</w:t>
      </w:r>
    </w:p>
    <w:p>
      <w:pPr>
        <w:pStyle w:val="ListBullet"/>
      </w:pPr>
      <w:r>
        <w:t>• Whether the codebook generalises to annotators using it from the start, rather than reaching it after a disagreement round.</w:t>
      </w:r>
    </w:p>
    <w:p>
      <w:pPr>
        <w:pStyle w:val="ListBullet"/>
      </w:pPr>
      <w:r>
        <w:t>• A frontier-scale generator: the four models evaluated are all locally served.</w:t>
      </w:r>
    </w:p>
    <w:p>
      <w:pPr>
        <w:pStyle w:val="Heading1"/>
      </w:pPr>
      <w:r>
        <w:t>Appendix: superseded pilot</w:t>
      </w:r>
    </w:p>
    <w:p>
      <w:r>
        <w:rPr>
          <w:i/>
        </w:rPr>
        <w:t>A defect in child attribution assigned every segment to an unknown child. A pilot annotation set drawn before the fix landed 28 of its 31 items on a single child and none on the Flusberg corpus. Its field accuracies are reproduced here as motivation only and are explicitly not treated as a baseline; they are superseded by the adjudicated gold standard reported above.</w:t>
      </w:r>
    </w:p>
    <w:p>
      <w:pPr>
        <w:jc w:val="center"/>
      </w:pPr>
      <w:r>
        <w:drawing>
          <wp:inline xmlns:a="http://schemas.openxmlformats.org/drawingml/2006/main" xmlns:pic="http://schemas.openxmlformats.org/drawingml/2006/picture">
            <wp:extent cx="5760720" cy="2424476"/>
            <wp:docPr id="22" name="Picture 22"/>
            <wp:cNvGraphicFramePr>
              <a:graphicFrameLocks noChangeAspect="1"/>
            </wp:cNvGraphicFramePr>
            <a:graphic>
              <a:graphicData uri="http://schemas.openxmlformats.org/drawingml/2006/picture">
                <pic:pic>
                  <pic:nvPicPr>
                    <pic:cNvPr id="0" name="fig4_pilot_superseded.png"/>
                    <pic:cNvPicPr/>
                  </pic:nvPicPr>
                  <pic:blipFill>
                    <a:blip r:embed="rId30"/>
                    <a:stretch>
                      <a:fillRect/>
                    </a:stretch>
                  </pic:blipFill>
                  <pic:spPr>
                    <a:xfrm>
                      <a:off x="0" y="0"/>
                      <a:ext cx="5760720" cy="2424476"/>
                    </a:xfrm>
                    <a:prstGeom prst="rect"/>
                  </pic:spPr>
                </pic:pic>
              </a:graphicData>
            </a:graphic>
          </wp:inline>
        </w:drawing>
      </w:r>
    </w:p>
    <w:p>
      <w:pPr>
        <w:jc w:val="center"/>
      </w:pPr>
      <w:r>
        <w:rPr>
          <w:i/>
          <w:color w:val="7B8994"/>
          <w:sz w:val="18"/>
        </w:rPr>
        <w:t>Figure 22. Pilot field accuracy (superseded). Retained for provenance, not as a result.</w:t>
      </w:r>
    </w:p>
    <w:p>
      <w:pPr>
        <w:pStyle w:val="Heading1"/>
      </w:pPr>
      <w:r>
        <w:t>Reproducibility</w:t>
      </w:r>
    </w:p>
    <w:p>
      <w:r>
        <w:rPr>
          <w:i w:val="0"/>
        </w:rPr>
        <w:t>All results derive from 47 recorded artefacts, of which 29 are pinned by SHA-256 checksum. The reproduction sequence is recorded in docs/paper/artifacts.md. Tests re-derive every number in the manuscript from its artefact and fail if prose and data disagree. Fixed seeds: sheet ordering 42 and 4242, bootstrap 20260915/20260916 at 10,000 replicates.</w:t>
      </w:r>
    </w:p>
    <w:p>
      <w:pPr>
        <w:pStyle w:val="Heading1"/>
      </w:pPr>
      <w:r>
        <w:t>Data availability</w:t>
      </w:r>
    </w:p>
    <w:p>
      <w:r>
        <w:rPr>
          <w:i w:val="0"/>
          <w:color w:val="C1666B"/>
        </w:rPr>
        <w:t>[TO COMPLETE BEFORE SUBMISSION] The source corpora are publicly available from ASDBank/TalkBank under their own terms and are not redistributed here. The derived artefacts — the frozen annotation batch, both annotators' values for both rounds, the adjudicated gold standard, all computed statistics and the analysis code — are recorded in this repository. State the repository location, licence, and whether the gold standard will be released, before submission.</w:t>
      </w:r>
    </w:p>
    <w:p>
      <w:pPr>
        <w:pStyle w:val="Heading1"/>
      </w:pPr>
      <w:r>
        <w:t>Author contributions, conflicts of interest, and AI use</w:t>
      </w:r>
    </w:p>
    <w:p>
      <w:r>
        <w:rPr>
          <w:i w:val="0"/>
          <w:color w:val="C1666B"/>
        </w:rPr>
        <w:t>[TO COMPLETE BEFORE SUBMISSION] Author contributions and conflict of interest declarations are required and are not yet written.</w:t>
      </w:r>
    </w:p>
    <w:p>
      <w:r>
        <w:rPr>
          <w:i w:val="0"/>
        </w:rPr>
        <w:t>AI use is disclosed as follows. The extraction and judge models are the object of study and are described in Methods. Separately, substantial portions of the evaluation tooling and drafting of this manuscript were produced with AI assistance. No AI system authored, selected, or altered a gold-standard value, an adjudication decision, or a reported statistic: every annotation and every adjudication is human, statistics are computed by code from recorded artefacts, and automated tests re-derive each reported number from its artefact. The exact disclosure wording required by the journal must be confirmed at submission.</w:t>
      </w:r>
    </w:p>
    <w:p>
      <w:pPr>
        <w:pStyle w:val="Heading1"/>
      </w:pPr>
      <w:r>
        <w:t>References</w:t>
      </w:r>
    </w:p>
    <w:p>
      <w:r>
        <w:rPr>
          <w:i w:val="0"/>
          <w:color w:val="C1666B"/>
        </w:rPr>
        <w:t>[TO COMPLETE BEFORE SUBMISSION] No reference list has been compiled. Required at minimum: both corpus DOIs, the kappa and maximum-kappa literature, the asymptotic variance estimator, agreement reporting guidance, and the prior work identified in the Comparison section.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