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Governance-Aware Extraction of Structured Autism Observations: Annotation Reliability, Unsupported Inference, and Multi-Model Selection</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51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Reranking selected better than chance but did not improve on always using the strongest generator.</w:t>
      </w:r>
    </w:p>
    <w:p>
      <w:r>
        <w:rPr>
          <w:i w:val="0"/>
        </w:rPr>
        <w:t>Conclusions. Low inter-annotator agreement in this task was largely definitional rather than a matter of annotator inconsistency, and was measurably repaired by a written codebook under a controlled design. The generators evaluated are not adequate for the extraction task, and increasing model size within the locally served models evaluated did not resolve the extraction failure: the largest model tested achieved accuracy comparable to the strongest smaller model while producing the highest unsupported-assertion rate. Candidate selection cannot compensate for candidate quality.</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 The contribution is the evaluation process and what it exposes, not a system that performs well: it exposes failure at the annotation layer and at the extraction layer, and reports both.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1. Corpus composition: behavioural segments per child, by source corpus.</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2.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3. Joint yield under a require-all policy. A 60-segment pilot projected 519 segments would be consumed to reach 330; the realised run consumed 506.</w:t>
      </w:r>
    </w:p>
    <w:p>
      <w:r>
        <w:rPr>
          <w:i w:val="0"/>
        </w:rPr>
        <w:t>The batch is frozen at this point and is not regenerated. Generator outputs are replayed from it wherever they are needed downstream, so the reranking evaluation selected from exactly the candidates the annotators saw. Reranking is an offline evaluation method applied to these recorded outputs, not a stage in the application's request path.</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color w:val="C1666B"/>
        </w:rPr>
        <w:t>State of the held-out round at the time of writing: annotation complete for both annotators; generator runs complete for 4 of 4 generators; reference standard awaiting adjudication. Reliability over it is reported below. Accuracy and unsupported-assertion rates over it are not, because those require the adjudicated reference standard.</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4. MARS control flow: models propose and rank, deterministic code decides, and each abstention carries a typed reason code. This is the offline evaluation pipeline, not the application's request path.</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Segments are nested within children: the 330 segments come from 11 children, 30 each, across multiple sessions. Two segments from one child share that child's language, the partner's style and the session's activity, and are not independent draws. Intervals are therefore obtained by resampling **children** with replacement, each drawn child contributing all of its segments. With 11 clusters this is a small number to resample and the intervals are correspondingly wide; that width is information about the design rather than a defect of the estimator. Segment-level intervals are retained throughout as a sensitivity analysis and are reported alongside. Every conclusion in this paper holds under both.</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5.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6.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data was collected from human participants for this work, no participants were recruited or contacted, and no clinical care was delivered, influenced or withheld on the basis of any system output. The system was not deployed in any care setting and no interventionist used it during the work reported here.</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 segments from 11 children). The reported interval resamples children; the segment-level interval is the sensitivity analysis.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kappa</w:t>
            </w:r>
          </w:p>
        </w:tc>
        <w:tc>
          <w:tcPr>
            <w:tcW w:type="dxa" w:w="1440"/>
          </w:tcPr>
          <w:p>
            <w:r>
              <w:rPr>
                <w:b/>
                <w:sz w:val="18"/>
              </w:rPr>
              <w:t>95% CI (children)</w:t>
            </w:r>
          </w:p>
        </w:tc>
        <w:tc>
          <w:tcPr>
            <w:tcW w:type="dxa" w:w="1440"/>
          </w:tcPr>
          <w:p>
            <w:r>
              <w:rPr>
                <w:b/>
                <w:sz w:val="18"/>
              </w:rPr>
              <w:t>95% CI (segments)</w:t>
            </w:r>
          </w:p>
        </w:tc>
        <w:tc>
          <w:tcPr>
            <w:tcW w:type="dxa" w:w="1440"/>
          </w:tcPr>
          <w:p>
            <w:r>
              <w:rPr>
                <w:b/>
                <w:sz w:val="18"/>
              </w:rPr>
              <w:t>kappa_max</w:t>
            </w:r>
          </w:p>
        </w:tc>
        <w:tc>
          <w:tcPr>
            <w:tcW w:type="dxa" w:w="1440"/>
          </w:tcPr>
          <w:p>
            <w:r>
              <w:rPr>
                <w:b/>
                <w:sz w:val="18"/>
              </w:rPr>
              <w:t>kappa / kappa_max</w:t>
            </w:r>
          </w:p>
        </w:tc>
      </w:tr>
      <w:tr>
        <w:tc>
          <w:tcPr>
            <w:tcW w:type="dxa" w:w="1440"/>
          </w:tcPr>
          <w:p>
            <w:r>
              <w:rPr>
                <w:sz w:val="18"/>
              </w:rPr>
              <w:t>domain</w:t>
            </w:r>
          </w:p>
        </w:tc>
        <w:tc>
          <w:tcPr>
            <w:tcW w:type="dxa" w:w="1440"/>
          </w:tcPr>
          <w:p>
            <w:r>
              <w:rPr>
                <w:sz w:val="18"/>
              </w:rPr>
              <w:t>0.751</w:t>
            </w:r>
          </w:p>
        </w:tc>
        <w:tc>
          <w:tcPr>
            <w:tcW w:type="dxa" w:w="1440"/>
          </w:tcPr>
          <w:p>
            <w:r>
              <w:rPr>
                <w:sz w:val="18"/>
              </w:rPr>
              <w:t>[0.704, 0.790]</w:t>
            </w:r>
          </w:p>
        </w:tc>
        <w:tc>
          <w:tcPr>
            <w:tcW w:type="dxa" w:w="1440"/>
          </w:tcPr>
          <w:p>
            <w:r>
              <w:rPr>
                <w:sz w:val="18"/>
              </w:rPr>
              <w:t>[0.697, 0.803]</w:t>
            </w:r>
          </w:p>
        </w:tc>
        <w:tc>
          <w:tcPr>
            <w:tcW w:type="dxa" w:w="1440"/>
          </w:tcPr>
          <w:p>
            <w:r>
              <w:rPr>
                <w:sz w:val="18"/>
              </w:rPr>
              <w:t>0.921</w:t>
            </w:r>
          </w:p>
        </w:tc>
        <w:tc>
          <w:tcPr>
            <w:tcW w:type="dxa" w:w="1440"/>
          </w:tcPr>
          <w:p>
            <w:r>
              <w:rPr>
                <w:sz w:val="18"/>
              </w:rPr>
              <w:t>0.816</w:t>
            </w:r>
          </w:p>
        </w:tc>
      </w:tr>
      <w:tr>
        <w:tc>
          <w:tcPr>
            <w:tcW w:type="dxa" w:w="1440"/>
          </w:tcPr>
          <w:p>
            <w:r>
              <w:rPr>
                <w:sz w:val="18"/>
              </w:rPr>
              <w:t>modality</w:t>
            </w:r>
          </w:p>
        </w:tc>
        <w:tc>
          <w:tcPr>
            <w:tcW w:type="dxa" w:w="1440"/>
          </w:tcPr>
          <w:p>
            <w:r>
              <w:rPr>
                <w:sz w:val="18"/>
              </w:rPr>
              <w:t>0.570</w:t>
            </w:r>
          </w:p>
        </w:tc>
        <w:tc>
          <w:tcPr>
            <w:tcW w:type="dxa" w:w="1440"/>
          </w:tcPr>
          <w:p>
            <w:r>
              <w:rPr>
                <w:sz w:val="18"/>
              </w:rPr>
              <w:t>[0.434, 0.696]</w:t>
            </w:r>
          </w:p>
        </w:tc>
        <w:tc>
          <w:tcPr>
            <w:tcW w:type="dxa" w:w="1440"/>
          </w:tcPr>
          <w:p>
            <w:r>
              <w:rPr>
                <w:sz w:val="18"/>
              </w:rPr>
              <w:t>[0.517, 0.624]</w:t>
            </w:r>
          </w:p>
        </w:tc>
        <w:tc>
          <w:tcPr>
            <w:tcW w:type="dxa" w:w="1440"/>
          </w:tcPr>
          <w:p>
            <w:r>
              <w:rPr>
                <w:sz w:val="18"/>
              </w:rPr>
              <w:t>0.622</w:t>
            </w:r>
          </w:p>
        </w:tc>
        <w:tc>
          <w:tcPr>
            <w:tcW w:type="dxa" w:w="1440"/>
          </w:tcPr>
          <w:p>
            <w:r>
              <w:rPr>
                <w:sz w:val="18"/>
              </w:rPr>
              <w:t>0.916</w:t>
            </w:r>
          </w:p>
        </w:tc>
      </w:tr>
      <w:tr>
        <w:tc>
          <w:tcPr>
            <w:tcW w:type="dxa" w:w="1440"/>
          </w:tcPr>
          <w:p>
            <w:r>
              <w:rPr>
                <w:sz w:val="18"/>
              </w:rPr>
              <w:t>prompt_level</w:t>
            </w:r>
          </w:p>
        </w:tc>
        <w:tc>
          <w:tcPr>
            <w:tcW w:type="dxa" w:w="1440"/>
          </w:tcPr>
          <w:p>
            <w:r>
              <w:rPr>
                <w:sz w:val="18"/>
              </w:rPr>
              <w:t>0.595</w:t>
            </w:r>
          </w:p>
        </w:tc>
        <w:tc>
          <w:tcPr>
            <w:tcW w:type="dxa" w:w="1440"/>
          </w:tcPr>
          <w:p>
            <w:r>
              <w:rPr>
                <w:sz w:val="18"/>
              </w:rPr>
              <w:t>[0.519, 0.675]</w:t>
            </w:r>
          </w:p>
        </w:tc>
        <w:tc>
          <w:tcPr>
            <w:tcW w:type="dxa" w:w="1440"/>
          </w:tcPr>
          <w:p>
            <w:r>
              <w:rPr>
                <w:sz w:val="18"/>
              </w:rPr>
              <w:t>[0.516, 0.667]</w:t>
            </w:r>
          </w:p>
        </w:tc>
        <w:tc>
          <w:tcPr>
            <w:tcW w:type="dxa" w:w="1440"/>
          </w:tcPr>
          <w:p>
            <w:r>
              <w:rPr>
                <w:sz w:val="18"/>
              </w:rPr>
              <w:t>0.839</w:t>
            </w:r>
          </w:p>
        </w:tc>
        <w:tc>
          <w:tcPr>
            <w:tcW w:type="dxa" w:w="1440"/>
          </w:tcPr>
          <w:p>
            <w:r>
              <w:rPr>
                <w:sz w:val="18"/>
              </w:rPr>
              <w:t>0.709</w:t>
            </w:r>
          </w:p>
        </w:tc>
      </w:tr>
      <w:tr>
        <w:tc>
          <w:tcPr>
            <w:tcW w:type="dxa" w:w="1440"/>
          </w:tcPr>
          <w:p>
            <w:r>
              <w:rPr>
                <w:sz w:val="18"/>
              </w:rPr>
              <w:t>outcome</w:t>
            </w:r>
          </w:p>
        </w:tc>
        <w:tc>
          <w:tcPr>
            <w:tcW w:type="dxa" w:w="1440"/>
          </w:tcPr>
          <w:p>
            <w:r>
              <w:rPr>
                <w:sz w:val="18"/>
              </w:rPr>
              <w:t>0.524</w:t>
            </w:r>
          </w:p>
        </w:tc>
        <w:tc>
          <w:tcPr>
            <w:tcW w:type="dxa" w:w="1440"/>
          </w:tcPr>
          <w:p>
            <w:r>
              <w:rPr>
                <w:sz w:val="18"/>
              </w:rPr>
              <w:t>[0.467, 0.577]</w:t>
            </w:r>
          </w:p>
        </w:tc>
        <w:tc>
          <w:tcPr>
            <w:tcW w:type="dxa" w:w="1440"/>
          </w:tcPr>
          <w:p>
            <w:r>
              <w:rPr>
                <w:sz w:val="18"/>
              </w:rPr>
              <w:t>[0.458, 0.589]</w:t>
            </w:r>
          </w:p>
        </w:tc>
        <w:tc>
          <w:tcPr>
            <w:tcW w:type="dxa" w:w="1440"/>
          </w:tcPr>
          <w:p>
            <w:r>
              <w:rPr>
                <w:sz w:val="18"/>
              </w:rPr>
              <w:t>0.758</w:t>
            </w:r>
          </w:p>
        </w:tc>
        <w:tc>
          <w:tcPr>
            <w:tcW w:type="dxa" w:w="1440"/>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7.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8.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9. Round-1 conflicts by cause. 254 of 355 fall on one of three stated definitional boundaries.</w:t>
      </w:r>
    </w:p>
    <w:p>
      <w:r>
        <w:rPr>
          <w:b/>
          <w:sz w:val="19"/>
        </w:rPr>
        <w:t>Table 2. Change in kappa over the re-issued segments, treated fields against the untreated control. Asterisk marks an interval excluding zero; both resampling units agree on every field.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Field</w:t>
            </w:r>
          </w:p>
        </w:tc>
        <w:tc>
          <w:tcPr>
            <w:tcW w:type="dxa" w:w="1234"/>
          </w:tcPr>
          <w:p>
            <w:r>
              <w:rPr>
                <w:b/>
                <w:sz w:val="18"/>
              </w:rPr>
              <w:t>Arm</w:t>
            </w:r>
          </w:p>
        </w:tc>
        <w:tc>
          <w:tcPr>
            <w:tcW w:type="dxa" w:w="1234"/>
          </w:tcPr>
          <w:p>
            <w:r>
              <w:rPr>
                <w:b/>
                <w:sz w:val="18"/>
              </w:rPr>
              <w:t>Round 1</w:t>
            </w:r>
          </w:p>
        </w:tc>
        <w:tc>
          <w:tcPr>
            <w:tcW w:type="dxa" w:w="1234"/>
          </w:tcPr>
          <w:p>
            <w:r>
              <w:rPr>
                <w:b/>
                <w:sz w:val="18"/>
              </w:rPr>
              <w:t>Round 2</w:t>
            </w:r>
          </w:p>
        </w:tc>
        <w:tc>
          <w:tcPr>
            <w:tcW w:type="dxa" w:w="1234"/>
          </w:tcPr>
          <w:p>
            <w:r>
              <w:rPr>
                <w:b/>
                <w:sz w:val="18"/>
              </w:rPr>
              <w:t>Change</w:t>
            </w:r>
          </w:p>
        </w:tc>
        <w:tc>
          <w:tcPr>
            <w:tcW w:type="dxa" w:w="1234"/>
          </w:tcPr>
          <w:p>
            <w:r>
              <w:rPr>
                <w:b/>
                <w:sz w:val="18"/>
              </w:rPr>
              <w:t>95% CI (children)</w:t>
            </w:r>
          </w:p>
        </w:tc>
        <w:tc>
          <w:tcPr>
            <w:tcW w:type="dxa" w:w="1234"/>
          </w:tcPr>
          <w:p>
            <w:r>
              <w:rPr>
                <w:b/>
                <w:sz w:val="18"/>
              </w:rPr>
              <w:t>95% CI (segments)</w:t>
            </w:r>
          </w:p>
        </w:tc>
      </w:tr>
      <w:tr>
        <w:tc>
          <w:tcPr>
            <w:tcW w:type="dxa" w:w="1234"/>
          </w:tcPr>
          <w:p>
            <w:r>
              <w:rPr>
                <w:sz w:val="18"/>
              </w:rPr>
              <w:t>domain</w:t>
            </w:r>
          </w:p>
        </w:tc>
        <w:tc>
          <w:tcPr>
            <w:tcW w:type="dxa" w:w="1234"/>
          </w:tcPr>
          <w:p>
            <w:r>
              <w:rPr>
                <w:sz w:val="18"/>
              </w:rPr>
              <w:t>control</w:t>
            </w:r>
          </w:p>
        </w:tc>
        <w:tc>
          <w:tcPr>
            <w:tcW w:type="dxa" w:w="1234"/>
          </w:tcPr>
          <w:p>
            <w:r>
              <w:rPr>
                <w:sz w:val="18"/>
              </w:rPr>
              <w:t>0.732</w:t>
            </w:r>
          </w:p>
        </w:tc>
        <w:tc>
          <w:tcPr>
            <w:tcW w:type="dxa" w:w="1234"/>
          </w:tcPr>
          <w:p>
            <w:r>
              <w:rPr>
                <w:sz w:val="18"/>
              </w:rPr>
              <w:t>0.691</w:t>
            </w:r>
          </w:p>
        </w:tc>
        <w:tc>
          <w:tcPr>
            <w:tcW w:type="dxa" w:w="1234"/>
          </w:tcPr>
          <w:p>
            <w:r>
              <w:rPr>
                <w:sz w:val="18"/>
              </w:rPr>
              <w:t>-0.041</w:t>
            </w:r>
          </w:p>
        </w:tc>
        <w:tc>
          <w:tcPr>
            <w:tcW w:type="dxa" w:w="1234"/>
          </w:tcPr>
          <w:p>
            <w:r>
              <w:rPr>
                <w:sz w:val="18"/>
              </w:rPr>
              <w:t>[-0.142, +0.068]</w:t>
            </w:r>
          </w:p>
        </w:tc>
        <w:tc>
          <w:tcPr>
            <w:tcW w:type="dxa" w:w="1234"/>
          </w:tcPr>
          <w:p>
            <w:r>
              <w:rPr>
                <w:sz w:val="18"/>
              </w:rPr>
              <w:t>[-0.141, +0.052]</w:t>
            </w:r>
          </w:p>
        </w:tc>
      </w:tr>
      <w:tr>
        <w:tc>
          <w:tcPr>
            <w:tcW w:type="dxa" w:w="1234"/>
          </w:tcPr>
          <w:p>
            <w:r>
              <w:rPr>
                <w:sz w:val="18"/>
              </w:rPr>
              <w:t>modality</w:t>
            </w:r>
          </w:p>
        </w:tc>
        <w:tc>
          <w:tcPr>
            <w:tcW w:type="dxa" w:w="1234"/>
          </w:tcPr>
          <w:p>
            <w:r>
              <w:rPr>
                <w:sz w:val="18"/>
              </w:rPr>
              <w:t>treated</w:t>
            </w:r>
          </w:p>
        </w:tc>
        <w:tc>
          <w:tcPr>
            <w:tcW w:type="dxa" w:w="1234"/>
          </w:tcPr>
          <w:p>
            <w:r>
              <w:rPr>
                <w:sz w:val="18"/>
              </w:rPr>
              <w:t>0.385</w:t>
            </w:r>
          </w:p>
        </w:tc>
        <w:tc>
          <w:tcPr>
            <w:tcW w:type="dxa" w:w="1234"/>
          </w:tcPr>
          <w:p>
            <w:r>
              <w:rPr>
                <w:sz w:val="18"/>
              </w:rPr>
              <w:t>0.866</w:t>
            </w:r>
          </w:p>
        </w:tc>
        <w:tc>
          <w:tcPr>
            <w:tcW w:type="dxa" w:w="1234"/>
          </w:tcPr>
          <w:p>
            <w:r>
              <w:rPr>
                <w:sz w:val="18"/>
              </w:rPr>
              <w:t>+0.481</w:t>
            </w:r>
          </w:p>
        </w:tc>
        <w:tc>
          <w:tcPr>
            <w:tcW w:type="dxa" w:w="1234"/>
          </w:tcPr>
          <w:p>
            <w:r>
              <w:rPr>
                <w:sz w:val="18"/>
              </w:rPr>
              <w:t>[+0.337, +0.583]  *</w:t>
            </w:r>
          </w:p>
        </w:tc>
        <w:tc>
          <w:tcPr>
            <w:tcW w:type="dxa" w:w="1234"/>
          </w:tcPr>
          <w:p>
            <w:r>
              <w:rPr>
                <w:sz w:val="18"/>
              </w:rPr>
              <w:t>[+0.397, +0.565]  *</w:t>
            </w:r>
          </w:p>
        </w:tc>
      </w:tr>
      <w:tr>
        <w:tc>
          <w:tcPr>
            <w:tcW w:type="dxa" w:w="1234"/>
          </w:tcPr>
          <w:p>
            <w:r>
              <w:rPr>
                <w:sz w:val="18"/>
              </w:rPr>
              <w:t>prompt_level</w:t>
            </w:r>
          </w:p>
        </w:tc>
        <w:tc>
          <w:tcPr>
            <w:tcW w:type="dxa" w:w="1234"/>
          </w:tcPr>
          <w:p>
            <w:r>
              <w:rPr>
                <w:sz w:val="18"/>
              </w:rPr>
              <w:t>treated</w:t>
            </w:r>
          </w:p>
        </w:tc>
        <w:tc>
          <w:tcPr>
            <w:tcW w:type="dxa" w:w="1234"/>
          </w:tcPr>
          <w:p>
            <w:r>
              <w:rPr>
                <w:sz w:val="18"/>
              </w:rPr>
              <w:t>0.281</w:t>
            </w:r>
          </w:p>
        </w:tc>
        <w:tc>
          <w:tcPr>
            <w:tcW w:type="dxa" w:w="1234"/>
          </w:tcPr>
          <w:p>
            <w:r>
              <w:rPr>
                <w:sz w:val="18"/>
              </w:rPr>
              <w:t>0.574</w:t>
            </w:r>
          </w:p>
        </w:tc>
        <w:tc>
          <w:tcPr>
            <w:tcW w:type="dxa" w:w="1234"/>
          </w:tcPr>
          <w:p>
            <w:r>
              <w:rPr>
                <w:sz w:val="18"/>
              </w:rPr>
              <w:t>+0.293</w:t>
            </w:r>
          </w:p>
        </w:tc>
        <w:tc>
          <w:tcPr>
            <w:tcW w:type="dxa" w:w="1234"/>
          </w:tcPr>
          <w:p>
            <w:r>
              <w:rPr>
                <w:sz w:val="18"/>
              </w:rPr>
              <w:t>[+0.191, +0.435]  *</w:t>
            </w:r>
          </w:p>
        </w:tc>
        <w:tc>
          <w:tcPr>
            <w:tcW w:type="dxa" w:w="1234"/>
          </w:tcPr>
          <w:p>
            <w:r>
              <w:rPr>
                <w:sz w:val="18"/>
              </w:rPr>
              <w:t>[+0.137, +0.447]  *</w:t>
            </w:r>
          </w:p>
        </w:tc>
      </w:tr>
      <w:tr>
        <w:tc>
          <w:tcPr>
            <w:tcW w:type="dxa" w:w="1234"/>
          </w:tcPr>
          <w:p>
            <w:r>
              <w:rPr>
                <w:sz w:val="18"/>
              </w:rPr>
              <w:t>outcome</w:t>
            </w:r>
          </w:p>
        </w:tc>
        <w:tc>
          <w:tcPr>
            <w:tcW w:type="dxa" w:w="1234"/>
          </w:tcPr>
          <w:p>
            <w:r>
              <w:rPr>
                <w:sz w:val="18"/>
              </w:rPr>
              <w:t>treated</w:t>
            </w:r>
          </w:p>
        </w:tc>
        <w:tc>
          <w:tcPr>
            <w:tcW w:type="dxa" w:w="1234"/>
          </w:tcPr>
          <w:p>
            <w:r>
              <w:rPr>
                <w:sz w:val="18"/>
              </w:rPr>
              <w:t>0.284</w:t>
            </w:r>
          </w:p>
        </w:tc>
        <w:tc>
          <w:tcPr>
            <w:tcW w:type="dxa" w:w="1234"/>
          </w:tcPr>
          <w:p>
            <w:r>
              <w:rPr>
                <w:sz w:val="18"/>
              </w:rPr>
              <w:t>0.628</w:t>
            </w:r>
          </w:p>
        </w:tc>
        <w:tc>
          <w:tcPr>
            <w:tcW w:type="dxa" w:w="1234"/>
          </w:tcPr>
          <w:p>
            <w:r>
              <w:rPr>
                <w:sz w:val="18"/>
              </w:rPr>
              <w:t>+0.344</w:t>
            </w:r>
          </w:p>
        </w:tc>
        <w:tc>
          <w:tcPr>
            <w:tcW w:type="dxa" w:w="1234"/>
          </w:tcPr>
          <w:p>
            <w:r>
              <w:rPr>
                <w:sz w:val="18"/>
              </w:rPr>
              <w:t>[+0.160, +0.562]  *</w:t>
            </w:r>
          </w:p>
        </w:tc>
        <w:tc>
          <w:tcPr>
            <w:tcW w:type="dxa" w:w="1234"/>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80842"/>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80842"/>
                    </a:xfrm>
                    <a:prstGeom prst="rect"/>
                  </pic:spPr>
                </pic:pic>
              </a:graphicData>
            </a:graphic>
          </wp:inline>
        </w:drawing>
      </w:r>
    </w:p>
    <w:p>
      <w:pPr>
        <w:jc w:val="center"/>
      </w:pPr>
      <w:r>
        <w:rPr>
          <w:i/>
          <w:color w:val="7B8994"/>
          <w:sz w:val="18"/>
        </w:rPr>
        <w:t>Figure 10. Reliability before and after the codebook, with the paired interval on each change. The control field is shown in grey.</w:t>
      </w:r>
    </w:p>
    <w:p>
      <w:pPr>
        <w:pStyle w:val="Heading2"/>
      </w:pPr>
      <w:r>
        <w:t>Held-out round: first-pass reliability</w:t>
      </w:r>
    </w:p>
    <w:p>
      <w:r>
        <w:rPr>
          <w:i w:val="0"/>
        </w:rPr>
        <w:t>The 132 held-out segments were annotated by the same two annotators working from the final codebook from the first segment, rather than reaching it after a round of disagreement. Both returned complete sheets with no empty cells and no cell errors.</w:t>
      </w:r>
    </w:p>
    <w:p>
      <w:r>
        <w:rPr>
          <w:b/>
          <w:sz w:val="19"/>
        </w:rPr>
        <w:t>Table 3. Agreement across the three annotation rounds. The held-out round is a first pass under the final protocol on segments never selected for model tractability.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Round</w:t>
            </w:r>
          </w:p>
        </w:tc>
        <w:tc>
          <w:tcPr>
            <w:tcW w:type="dxa" w:w="1728"/>
          </w:tcPr>
          <w:p>
            <w:r>
              <w:rPr>
                <w:b/>
                <w:sz w:val="18"/>
              </w:rPr>
              <w:t>Protocol</w:t>
            </w:r>
          </w:p>
        </w:tc>
        <w:tc>
          <w:tcPr>
            <w:tcW w:type="dxa" w:w="1728"/>
          </w:tcPr>
          <w:p>
            <w:r>
              <w:rPr>
                <w:b/>
                <w:sz w:val="18"/>
              </w:rPr>
              <w:t>n</w:t>
            </w:r>
          </w:p>
        </w:tc>
        <w:tc>
          <w:tcPr>
            <w:tcW w:type="dxa" w:w="1728"/>
          </w:tcPr>
          <w:p>
            <w:r>
              <w:rPr>
                <w:b/>
                <w:sz w:val="18"/>
              </w:rPr>
              <w:t>Mean kappa</w:t>
            </w:r>
          </w:p>
        </w:tc>
        <w:tc>
          <w:tcPr>
            <w:tcW w:type="dxa" w:w="1728"/>
          </w:tcPr>
          <w:p>
            <w:r>
              <w:rPr>
                <w:b/>
                <w:sz w:val="18"/>
              </w:rPr>
              <w:t>domain (untreated)</w:t>
            </w:r>
          </w:p>
        </w:tc>
      </w:tr>
      <w:tr>
        <w:tc>
          <w:tcPr>
            <w:tcW w:type="dxa" w:w="1728"/>
          </w:tcPr>
          <w:p>
            <w:r>
              <w:rPr>
                <w:sz w:val="18"/>
              </w:rPr>
              <w:t>Round 1</w:t>
            </w:r>
          </w:p>
        </w:tc>
        <w:tc>
          <w:tcPr>
            <w:tcW w:type="dxa" w:w="1728"/>
          </w:tcPr>
          <w:p>
            <w:r>
              <w:rPr>
                <w:sz w:val="18"/>
              </w:rPr>
              <w:t>no codebook</w:t>
            </w:r>
          </w:p>
        </w:tc>
        <w:tc>
          <w:tcPr>
            <w:tcW w:type="dxa" w:w="1728"/>
          </w:tcPr>
          <w:p>
            <w:r>
              <w:rPr>
                <w:sz w:val="18"/>
              </w:rPr>
              <w:t>330</w:t>
            </w:r>
          </w:p>
        </w:tc>
        <w:tc>
          <w:tcPr>
            <w:tcW w:type="dxa" w:w="1728"/>
          </w:tcPr>
          <w:p>
            <w:r>
              <w:rPr>
                <w:sz w:val="18"/>
              </w:rPr>
              <w:t>0.610</w:t>
            </w:r>
          </w:p>
        </w:tc>
        <w:tc>
          <w:tcPr>
            <w:tcW w:type="dxa" w:w="1728"/>
          </w:tcPr>
          <w:p>
            <w:r>
              <w:rPr>
                <w:sz w:val="18"/>
              </w:rPr>
              <w:t>0.751</w:t>
            </w:r>
          </w:p>
        </w:tc>
      </w:tr>
      <w:tr>
        <w:tc>
          <w:tcPr>
            <w:tcW w:type="dxa" w:w="1728"/>
          </w:tcPr>
          <w:p>
            <w:r>
              <w:rPr>
                <w:sz w:val="18"/>
              </w:rPr>
              <w:t>Merged</w:t>
            </w:r>
          </w:p>
        </w:tc>
        <w:tc>
          <w:tcPr>
            <w:tcW w:type="dxa" w:w="1728"/>
          </w:tcPr>
          <w:p>
            <w:r>
              <w:rPr>
                <w:sz w:val="18"/>
              </w:rPr>
              <w:t>after codebook re-annotation</w:t>
            </w:r>
          </w:p>
        </w:tc>
        <w:tc>
          <w:tcPr>
            <w:tcW w:type="dxa" w:w="1728"/>
          </w:tcPr>
          <w:p>
            <w:r>
              <w:rPr>
                <w:sz w:val="18"/>
              </w:rPr>
              <w:t>330</w:t>
            </w:r>
          </w:p>
        </w:tc>
        <w:tc>
          <w:tcPr>
            <w:tcW w:type="dxa" w:w="1728"/>
          </w:tcPr>
          <w:p>
            <w:r>
              <w:rPr>
                <w:sz w:val="18"/>
              </w:rPr>
              <w:t>0.801</w:t>
            </w:r>
          </w:p>
        </w:tc>
        <w:tc>
          <w:tcPr>
            <w:tcW w:type="dxa" w:w="1728"/>
          </w:tcPr>
          <w:p>
            <w:r>
              <w:rPr>
                <w:sz w:val="18"/>
              </w:rPr>
              <w:t>0.718</w:t>
            </w:r>
          </w:p>
        </w:tc>
      </w:tr>
      <w:tr>
        <w:tc>
          <w:tcPr>
            <w:tcW w:type="dxa" w:w="1728"/>
          </w:tcPr>
          <w:p>
            <w:r>
              <w:rPr>
                <w:sz w:val="18"/>
              </w:rPr>
              <w:t>Held-out</w:t>
            </w:r>
          </w:p>
        </w:tc>
        <w:tc>
          <w:tcPr>
            <w:tcW w:type="dxa" w:w="1728"/>
          </w:tcPr>
          <w:p>
            <w:r>
              <w:rPr>
                <w:sz w:val="18"/>
              </w:rPr>
              <w:t>codebook from the first segment</w:t>
            </w:r>
          </w:p>
        </w:tc>
        <w:tc>
          <w:tcPr>
            <w:tcW w:type="dxa" w:w="1728"/>
          </w:tcPr>
          <w:p>
            <w:r>
              <w:rPr>
                <w:sz w:val="18"/>
              </w:rPr>
              <w:t>132</w:t>
            </w:r>
          </w:p>
        </w:tc>
        <w:tc>
          <w:tcPr>
            <w:tcW w:type="dxa" w:w="1728"/>
          </w:tcPr>
          <w:p>
            <w:r>
              <w:rPr>
                <w:sz w:val="18"/>
              </w:rPr>
              <w:t>0.910</w:t>
            </w:r>
          </w:p>
        </w:tc>
        <w:tc>
          <w:tcPr>
            <w:tcW w:type="dxa" w:w="1728"/>
          </w:tcPr>
          <w:p>
            <w:r>
              <w:rPr>
                <w:sz w:val="18"/>
              </w:rPr>
              <w:t>0.879</w:t>
            </w:r>
          </w:p>
        </w:tc>
      </w:tr>
    </w:tbl>
    <w:p/>
    <w:p>
      <w:r>
        <w:rPr>
          <w:b/>
          <w:sz w:val="19"/>
        </w:rPr>
        <w:t>Table 4. Held-out reliability by field (n = 132 segments from 11 children).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 (children)</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0.879</w:t>
            </w:r>
          </w:p>
        </w:tc>
        <w:tc>
          <w:tcPr>
            <w:tcW w:type="dxa" w:w="1728"/>
          </w:tcPr>
          <w:p>
            <w:r>
              <w:rPr>
                <w:sz w:val="18"/>
              </w:rPr>
              <w:t>[0.806, 0.936]</w:t>
            </w:r>
          </w:p>
        </w:tc>
        <w:tc>
          <w:tcPr>
            <w:tcW w:type="dxa" w:w="1728"/>
          </w:tcPr>
          <w:p>
            <w:r>
              <w:rPr>
                <w:sz w:val="18"/>
              </w:rPr>
              <w:t>0.960</w:t>
            </w:r>
          </w:p>
        </w:tc>
        <w:tc>
          <w:tcPr>
            <w:tcW w:type="dxa" w:w="1728"/>
          </w:tcPr>
          <w:p>
            <w:r>
              <w:rPr>
                <w:sz w:val="18"/>
              </w:rPr>
              <w:t>0.916</w:t>
            </w:r>
          </w:p>
        </w:tc>
      </w:tr>
      <w:tr>
        <w:tc>
          <w:tcPr>
            <w:tcW w:type="dxa" w:w="1728"/>
          </w:tcPr>
          <w:p>
            <w:r>
              <w:rPr>
                <w:sz w:val="18"/>
              </w:rPr>
              <w:t>modality</w:t>
            </w:r>
          </w:p>
        </w:tc>
        <w:tc>
          <w:tcPr>
            <w:tcW w:type="dxa" w:w="1728"/>
          </w:tcPr>
          <w:p>
            <w:r>
              <w:rPr>
                <w:sz w:val="18"/>
              </w:rPr>
              <w:t>0.929</w:t>
            </w:r>
          </w:p>
        </w:tc>
        <w:tc>
          <w:tcPr>
            <w:tcW w:type="dxa" w:w="1728"/>
          </w:tcPr>
          <w:p>
            <w:r>
              <w:rPr>
                <w:sz w:val="18"/>
              </w:rPr>
              <w:t>[0.822, 1.000]</w:t>
            </w:r>
          </w:p>
        </w:tc>
        <w:tc>
          <w:tcPr>
            <w:tcW w:type="dxa" w:w="1728"/>
          </w:tcPr>
          <w:p>
            <w:r>
              <w:rPr>
                <w:sz w:val="18"/>
              </w:rPr>
              <w:t>0.986</w:t>
            </w:r>
          </w:p>
        </w:tc>
        <w:tc>
          <w:tcPr>
            <w:tcW w:type="dxa" w:w="1728"/>
          </w:tcPr>
          <w:p>
            <w:r>
              <w:rPr>
                <w:sz w:val="18"/>
              </w:rPr>
              <w:t>0.943</w:t>
            </w:r>
          </w:p>
        </w:tc>
      </w:tr>
      <w:tr>
        <w:tc>
          <w:tcPr>
            <w:tcW w:type="dxa" w:w="1728"/>
          </w:tcPr>
          <w:p>
            <w:r>
              <w:rPr>
                <w:sz w:val="18"/>
              </w:rPr>
              <w:t>prompt_level</w:t>
            </w:r>
          </w:p>
        </w:tc>
        <w:tc>
          <w:tcPr>
            <w:tcW w:type="dxa" w:w="1728"/>
          </w:tcPr>
          <w:p>
            <w:r>
              <w:rPr>
                <w:sz w:val="18"/>
              </w:rPr>
              <w:t>0.916</w:t>
            </w:r>
          </w:p>
        </w:tc>
        <w:tc>
          <w:tcPr>
            <w:tcW w:type="dxa" w:w="1728"/>
          </w:tcPr>
          <w:p>
            <w:r>
              <w:rPr>
                <w:sz w:val="18"/>
              </w:rPr>
              <w:t>[0.820, 1.000]</w:t>
            </w:r>
          </w:p>
        </w:tc>
        <w:tc>
          <w:tcPr>
            <w:tcW w:type="dxa" w:w="1728"/>
          </w:tcPr>
          <w:p>
            <w:r>
              <w:rPr>
                <w:sz w:val="18"/>
              </w:rPr>
              <w:t>0.983</w:t>
            </w:r>
          </w:p>
        </w:tc>
        <w:tc>
          <w:tcPr>
            <w:tcW w:type="dxa" w:w="1728"/>
          </w:tcPr>
          <w:p>
            <w:r>
              <w:rPr>
                <w:sz w:val="18"/>
              </w:rPr>
              <w:t>0.932</w:t>
            </w:r>
          </w:p>
        </w:tc>
      </w:tr>
      <w:tr>
        <w:tc>
          <w:tcPr>
            <w:tcW w:type="dxa" w:w="1728"/>
          </w:tcPr>
          <w:p>
            <w:r>
              <w:rPr>
                <w:sz w:val="18"/>
              </w:rPr>
              <w:t>outcome</w:t>
            </w:r>
          </w:p>
        </w:tc>
        <w:tc>
          <w:tcPr>
            <w:tcW w:type="dxa" w:w="1728"/>
          </w:tcPr>
          <w:p>
            <w:r>
              <w:rPr>
                <w:sz w:val="18"/>
              </w:rPr>
              <w:t>0.914</w:t>
            </w:r>
          </w:p>
        </w:tc>
        <w:tc>
          <w:tcPr>
            <w:tcW w:type="dxa" w:w="1728"/>
          </w:tcPr>
          <w:p>
            <w:r>
              <w:rPr>
                <w:sz w:val="18"/>
              </w:rPr>
              <w:t>[0.877, 0.950]</w:t>
            </w:r>
          </w:p>
        </w:tc>
        <w:tc>
          <w:tcPr>
            <w:tcW w:type="dxa" w:w="1728"/>
          </w:tcPr>
          <w:p>
            <w:r>
              <w:rPr>
                <w:sz w:val="18"/>
              </w:rPr>
              <w:t>0.943</w:t>
            </w:r>
          </w:p>
        </w:tc>
        <w:tc>
          <w:tcPr>
            <w:tcW w:type="dxa" w:w="1728"/>
          </w:tcPr>
          <w:p>
            <w:r>
              <w:rPr>
                <w:sz w:val="18"/>
              </w:rPr>
              <w:t>0.970</w:t>
            </w:r>
          </w:p>
        </w:tc>
      </w:tr>
    </w:tbl>
    <w:p/>
    <w:p>
      <w:r>
        <w:rPr>
          <w:i w:val="0"/>
        </w:rPr>
        <w:t>Mean kappa on the held-out round is 0.910, against 0.610 before the codebook and 0.801 after re-annotation. Every field reaches at least 0.879, and each sits above 0.91 of the ceiling its marginals allow — the vocabulary mismatch that dominated round 1 is absent.</w:t>
      </w:r>
    </w:p>
    <w:p>
      <w:r>
        <w:rPr>
          <w:i w:val="0"/>
        </w:rPr>
        <w:t>This round has no internal control, and the figure should not be read as a codebook effect alone. The untreated control field also improved, from 0.751 in round 1 to 0.879 here, despite no codebook rule addressing it. By the time these segments were annotated the two annotators had worked through 508 segments and two rounds of adjudication, and the held-out segments were not filtered for generator tractability, so they may differ in difficulty. Accumulated annotator experience, segment composition, and the codebook are confounded here, and this design cannot separate them.</w:t>
      </w:r>
    </w:p>
    <w:p>
      <w:r>
        <w:rPr>
          <w:i w:val="0"/>
        </w:rPr>
        <w:t>The causal evidence for the codebook remains the round-2 comparison, where the treated and untreated fields were annotated in the same sitting by the same annotators and only the treated fields moved. What the held-out round establishes is narrower and still useful: the final protocol is workable from a cold start, it yields first-pass agreement well above the level the original instructions produced, and it supplies a reference standard for segments whose membership was never conditioned on model behaviour.</w:t>
      </w:r>
    </w:p>
    <w:p>
      <w:pPr>
        <w:pStyle w:val="Heading2"/>
      </w:pPr>
      <w:r>
        <w:t>How much the evaluation set was conditioned on model behaviour</w:t>
      </w:r>
    </w:p>
    <w:p>
      <w:r>
        <w:rPr>
          <w:i w:val="0"/>
        </w:rPr>
        <w:t>The held-out set makes the size of the selection effect measurable directly, without any gold standard: the same generators can be run on both sets and their admission rates compared. The main batch retained only segments where all three produced an admissible response; the held-out set retained everything.</w:t>
      </w:r>
    </w:p>
    <w:p>
      <w:r>
        <w:rPr>
          <w:b/>
          <w:sz w:val="19"/>
        </w:rPr>
        <w:t>Table 5. Generator admission on the model-conditioned batch against the unbiased held-out sample.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Admitted, batch</w:t>
            </w:r>
          </w:p>
        </w:tc>
        <w:tc>
          <w:tcPr>
            <w:tcW w:type="dxa" w:w="2160"/>
          </w:tcPr>
          <w:p>
            <w:r>
              <w:rPr>
                <w:b/>
                <w:sz w:val="18"/>
              </w:rPr>
              <w:t>Admitted, held-out</w:t>
            </w:r>
          </w:p>
        </w:tc>
        <w:tc>
          <w:tcPr>
            <w:tcW w:type="dxa" w:w="2160"/>
          </w:tcPr>
          <w:p>
            <w:r>
              <w:rPr>
                <w:b/>
                <w:sz w:val="18"/>
              </w:rPr>
              <w:t>Change</w:t>
            </w:r>
          </w:p>
        </w:tc>
      </w:tr>
      <w:tr>
        <w:tc>
          <w:tcPr>
            <w:tcW w:type="dxa" w:w="2160"/>
          </w:tcPr>
          <w:p>
            <w:r>
              <w:rPr>
                <w:sz w:val="18"/>
              </w:rPr>
              <w:t>llama3.2:latest</w:t>
            </w:r>
          </w:p>
        </w:tc>
        <w:tc>
          <w:tcPr>
            <w:tcW w:type="dxa" w:w="2160"/>
          </w:tcPr>
          <w:p>
            <w:r>
              <w:rPr>
                <w:sz w:val="18"/>
              </w:rPr>
              <w:t>40.3%</w:t>
            </w:r>
          </w:p>
        </w:tc>
        <w:tc>
          <w:tcPr>
            <w:tcW w:type="dxa" w:w="2160"/>
          </w:tcPr>
          <w:p>
            <w:r>
              <w:rPr>
                <w:sz w:val="18"/>
              </w:rPr>
              <w:t>31.8%</w:t>
            </w:r>
          </w:p>
        </w:tc>
        <w:tc>
          <w:tcPr>
            <w:tcW w:type="dxa" w:w="2160"/>
          </w:tcPr>
          <w:p>
            <w:r>
              <w:rPr>
                <w:sz w:val="18"/>
              </w:rPr>
              <w:t>-8.5</w:t>
            </w:r>
          </w:p>
        </w:tc>
      </w:tr>
      <w:tr>
        <w:tc>
          <w:tcPr>
            <w:tcW w:type="dxa" w:w="2160"/>
          </w:tcPr>
          <w:p>
            <w:r>
              <w:rPr>
                <w:sz w:val="18"/>
              </w:rPr>
              <w:t>qwen2.5:3b</w:t>
            </w:r>
          </w:p>
        </w:tc>
        <w:tc>
          <w:tcPr>
            <w:tcW w:type="dxa" w:w="2160"/>
          </w:tcPr>
          <w:p>
            <w:r>
              <w:rPr>
                <w:sz w:val="18"/>
              </w:rPr>
              <w:t>30.6%</w:t>
            </w:r>
          </w:p>
        </w:tc>
        <w:tc>
          <w:tcPr>
            <w:tcW w:type="dxa" w:w="2160"/>
          </w:tcPr>
          <w:p>
            <w:r>
              <w:rPr>
                <w:sz w:val="18"/>
              </w:rPr>
              <w:t>16.7%</w:t>
            </w:r>
          </w:p>
        </w:tc>
        <w:tc>
          <w:tcPr>
            <w:tcW w:type="dxa" w:w="2160"/>
          </w:tcPr>
          <w:p>
            <w:r>
              <w:rPr>
                <w:sz w:val="18"/>
              </w:rPr>
              <w:t>-13.9</w:t>
            </w:r>
          </w:p>
        </w:tc>
      </w:tr>
      <w:tr>
        <w:tc>
          <w:tcPr>
            <w:tcW w:type="dxa" w:w="2160"/>
          </w:tcPr>
          <w:p>
            <w:r>
              <w:rPr>
                <w:sz w:val="18"/>
              </w:rPr>
              <w:t>qwen2.5:7b</w:t>
            </w:r>
          </w:p>
        </w:tc>
        <w:tc>
          <w:tcPr>
            <w:tcW w:type="dxa" w:w="2160"/>
          </w:tcPr>
          <w:p>
            <w:r>
              <w:rPr>
                <w:sz w:val="18"/>
              </w:rPr>
              <w:t>78.8%</w:t>
            </w:r>
          </w:p>
        </w:tc>
        <w:tc>
          <w:tcPr>
            <w:tcW w:type="dxa" w:w="2160"/>
          </w:tcPr>
          <w:p>
            <w:r>
              <w:rPr>
                <w:sz w:val="18"/>
              </w:rPr>
              <w:t>78.0%</w:t>
            </w:r>
          </w:p>
        </w:tc>
        <w:tc>
          <w:tcPr>
            <w:tcW w:type="dxa" w:w="2160"/>
          </w:tcPr>
          <w:p>
            <w:r>
              <w:rPr>
                <w:sz w:val="18"/>
              </w:rPr>
              <w:t>-0.8</w:t>
            </w:r>
          </w:p>
        </w:tc>
      </w:tr>
      <w:tr>
        <w:tc>
          <w:tcPr>
            <w:tcW w:type="dxa" w:w="2160"/>
          </w:tcPr>
          <w:p>
            <w:r>
              <w:rPr>
                <w:sz w:val="18"/>
              </w:rPr>
              <w:t>qwen3:14b</w:t>
            </w:r>
          </w:p>
        </w:tc>
        <w:tc>
          <w:tcPr>
            <w:tcW w:type="dxa" w:w="2160"/>
          </w:tcPr>
          <w:p>
            <w:r>
              <w:rPr>
                <w:sz w:val="18"/>
              </w:rPr>
              <w:t>98.5%</w:t>
            </w:r>
          </w:p>
        </w:tc>
        <w:tc>
          <w:tcPr>
            <w:tcW w:type="dxa" w:w="2160"/>
          </w:tcPr>
          <w:p>
            <w:r>
              <w:rPr>
                <w:sz w:val="18"/>
              </w:rPr>
              <w:t>98.5%</w:t>
            </w:r>
          </w:p>
        </w:tc>
        <w:tc>
          <w:tcPr>
            <w:tcW w:type="dxa" w:w="2160"/>
          </w:tcPr>
          <w:p>
            <w:r>
              <w:rPr>
                <w:sz w:val="18"/>
              </w:rPr>
              <w:t>+0.0</w:t>
            </w:r>
          </w:p>
        </w:tc>
      </w:tr>
      <w:tr>
        <w:tc>
          <w:tcPr>
            <w:tcW w:type="dxa" w:w="2160"/>
          </w:tcPr>
          <w:p>
            <w:r>
              <w:rPr>
                <w:sz w:val="18"/>
              </w:rPr>
              <w:t>All 4 jointly admissible</w:t>
            </w:r>
          </w:p>
        </w:tc>
        <w:tc>
          <w:tcPr>
            <w:tcW w:type="dxa" w:w="2160"/>
          </w:tcPr>
          <w:p>
            <w:r>
              <w:rPr>
                <w:sz w:val="18"/>
              </w:rPr>
              <w:t>41/330 (12.4%)</w:t>
            </w:r>
          </w:p>
        </w:tc>
        <w:tc>
          <w:tcPr>
            <w:tcW w:type="dxa" w:w="2160"/>
          </w:tcPr>
          <w:p>
            <w:r>
              <w:rPr>
                <w:sz w:val="18"/>
              </w:rPr>
              <w:t>3/132 (2.3%)</w:t>
            </w:r>
          </w:p>
        </w:tc>
        <w:tc>
          <w:tcPr>
            <w:tcW w:type="dxa" w:w="2160"/>
          </w:tcPr>
          <w:p>
            <w:r>
              <w:rPr>
                <w:sz w:val="18"/>
              </w:rPr>
              <w:t>-10.2</w:t>
            </w:r>
          </w:p>
        </w:tc>
      </w:tr>
    </w:tbl>
    <w:p/>
    <w:p>
      <w:r>
        <w:rPr>
          <w:i w:val="0"/>
        </w:rPr>
        <w:t>All 4 generators are jointly admissible on 12.4% of the batch and 2.3% of the held-out sample — roughly a fivefold difference, and a direct measure of how much easier the evaluated segments were. The effect is concentrated in the weaker models, which lose 8 to 14 points, while the two larger ones are essentially unchanged.</w:t>
      </w:r>
    </w:p>
    <w:p>
      <w:r>
        <w:rPr>
          <w:i w:val="0"/>
        </w:rPr>
        <w:t>That stability is not the reassurance it appears to be. Admission measures whether a model returned something, not whether what it returned was supported, so a model that rarely declines is insensitive to segment difficulty by construction. The largest generator admits 98.5% of both sets — identical to the first decimal — and is the same model that asserts values on 97% of the occasions where the gold standard records that the transcript supports none. Robustness on this measure and willingness to answer are not separable, and the apparently more robust model is the less safe one.</w:t>
      </w:r>
    </w:p>
    <w:p>
      <w:r>
        <w:rPr>
          <w:i w:val="0"/>
          <w:color w:val="C1666B"/>
        </w:rPr>
        <w:t>This does not invalidate the batch results, which are correctly described as accuracy on segments every model could attempt. It does bound how far they generalise, and it is the reason the held-out sample exists. Accuracy and unsupported-assertion rates over it are pending adjudication of the held-out reference standard.</w:t>
      </w:r>
    </w:p>
    <w:p>
      <w:pPr>
        <w:pStyle w:val="Heading2"/>
      </w:pPr>
      <w:r>
        <w:t>Gold standard</w:t>
      </w:r>
    </w:p>
    <w:p>
      <w:r>
        <w:rPr>
          <w:i w:val="0"/>
        </w:rPr>
        <w:t>**Substantive disagreement affected 127 of 330 segments, not 322.** The larger figure is the number of segments adjudication touched, and the two must not be read as the same quantity. Of the 503 fields adjudicated, 321 were free-text behavior descriptions, which differ by exact string match on almost every segment even where the two annotators describe the same event in different words; resolving those is a choice between two adequate wordings rather than a substantive judgement. Categorical disagreement — the quantity that bears on reliability — affected 182 fields across 127 segments. Because a segment undecided on any field is excluded from the gold standard entirely, the wording rows still had to be settled, which is why only 8 segments required no adjudication at all.</w:t>
      </w:r>
    </w:p>
    <w:p>
      <w:r>
        <w:rPr>
          <w:b/>
          <w:sz w:val="19"/>
        </w:rPr>
        <w:t>Table 6.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7.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526632"/>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526632"/>
                    </a:xfrm>
                    <a:prstGeom prst="rect"/>
                  </pic:spPr>
                </pic:pic>
              </a:graphicData>
            </a:graphic>
          </wp:inline>
        </w:drawing>
      </w:r>
    </w:p>
    <w:p>
      <w:pPr>
        <w:jc w:val="center"/>
      </w:pPr>
      <w:r>
        <w:rPr>
          <w:i/>
          <w:color w:val="7B8994"/>
          <w:sz w:val="18"/>
        </w:rPr>
        <w:t>Figure 11.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12.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13.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14. MARS candidate-stage branch distribution: 12.7% abstain before any judge is consulted, 37.3% short-circuit, 50.0% present a genuine ranking decision.</w:t>
      </w:r>
    </w:p>
    <w:p>
      <w:pPr>
        <w:pStyle w:val="Heading2"/>
      </w:pPr>
      <w:r>
        <w:t>Extraction accuracy</w:t>
      </w:r>
    </w:p>
    <w:p>
      <w:r>
        <w:rPr>
          <w:b/>
          <w:sz w:val="19"/>
        </w:rPr>
        <w:t>Table 8.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15.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9.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73381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733811"/>
                    </a:xfrm>
                    <a:prstGeom prst="rect"/>
                  </pic:spPr>
                </pic:pic>
              </a:graphicData>
            </a:graphic>
          </wp:inline>
        </w:drawing>
      </w:r>
    </w:p>
    <w:p>
      <w:pPr>
        <w:jc w:val="center"/>
      </w:pPr>
      <w:r>
        <w:rPr>
          <w:i/>
          <w:color w:val="7B8994"/>
          <w:sz w:val="18"/>
        </w:rPr>
        <w:t>Figure 16. Values asserted where the transcript supports none.</w:t>
      </w:r>
    </w:p>
    <w:p>
      <w:r>
        <w:rPr>
          <w:b/>
          <w:sz w:val="19"/>
        </w:rPr>
        <w:t>Table 10.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17.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18.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11.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mean field accuracy is statistically indistinguishable from the best of the smaller models, and its whole-record accuracy is lower. It is, however, markedly less safe: on modality it asserts a value on 76 of the 77 segments where the gold standard records that the transcript supports none, and on outcome 111 of 115.</w:t>
      </w:r>
    </w:p>
    <w:p>
      <w:r>
        <w:rPr>
          <w:i w:val="0"/>
        </w:rPr>
        <w:t>Within the four-model roster evaluated here, lower abstention coincided with higher unsupported assertion: the model abstaining on 48% of fields asserted unsupported values on 31% of opportunities, and the model abstaining on 3% asserted them on 97%. The ordering is consistent across all four, but four models is a descriptive observation rather than evidence of a general relationship, and it is offered as such. The weakest generator in the roster appears safest only because it so often declines. This property would be important in any future clinical or intervention-monitoring pathway, and it is not one that model selection ordinarily optimises for.</w:t>
      </w:r>
    </w:p>
    <w:p>
      <w:pPr>
        <w:jc w:val="center"/>
      </w:pPr>
      <w:r>
        <w:drawing>
          <wp:inline xmlns:a="http://schemas.openxmlformats.org/drawingml/2006/main" xmlns:pic="http://schemas.openxmlformats.org/drawingml/2006/picture">
            <wp:extent cx="5760720" cy="1913882"/>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913882"/>
                    </a:xfrm>
                    <a:prstGeom prst="rect"/>
                  </pic:spPr>
                </pic:pic>
              </a:graphicData>
            </a:graphic>
          </wp:inline>
        </w:drawing>
      </w:r>
    </w:p>
    <w:p>
      <w:pPr>
        <w:jc w:val="center"/>
      </w:pPr>
      <w:r>
        <w:rPr>
          <w:i/>
          <w:color w:val="7B8994"/>
          <w:sz w:val="18"/>
        </w:rPr>
        <w:t>Figure 19. Left: per-field accuracy across four generators. Right: unsupported assertion against abstention rate. The four models are consistently ordered; with four points this is a descriptive observation, not an estimated relationship.</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rPr>
        <w:t>MARS is an evaluation method, not a deployed component. It runs offline over recorded generator outputs and is not intended for the application's request path; the deployed configuration uses a single extraction provider and the reranking provider is not reachable from the application's provider factory. Its purpose here is to establish what candidate selection could contribute given a set of generators, which is a question about the generators rather than a feature of the system. Every MARS figure reported below therefore describes an offline experiment, and none describes system behaviour in use.</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12.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20.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13.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14.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carried real signal: MARS selected better than a random candidate on every field, significantly so on modality and prompt_level. It did not beat the simplest informed policy: against always using the strongest generator it was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21. Selection quality on the judged segments, against both baselines, with paired intervals.</w:t>
      </w:r>
    </w:p>
    <w:p>
      <w:pPr>
        <w:pStyle w:val="Heading2"/>
      </w:pPr>
      <w:r>
        <w:t>Reporting layer</w:t>
      </w:r>
    </w:p>
    <w:p>
      <w:r>
        <w:rPr>
          <w:i w:val="0"/>
        </w:rPr>
        <w:t>Initial prompt-only generation did not reliably conform to the report schema. Because that behaviour could reflect decoding configuration rather than model capability, generation was repeated using the model server's native schema-constrained decoding. All 11 outputs then conformed structurally, and these constrained outputs form the reporting evaluation reported here.</w:t>
      </w:r>
    </w:p>
    <w:p>
      <w:r>
        <w:rPr>
          <w:i w:val="0"/>
        </w:rPr>
        <w:t>Schema constraint guarantees the shape of the output, not the truth of the values inside it. Structural conformance and governance conformance are therefore measured separately, under three headings: content safety, evidence grounding, and abstention preservation.</w:t>
      </w:r>
    </w:p>
    <w:p>
      <w:r>
        <w:rPr>
          <w:b/>
          <w:sz w:val="19"/>
        </w:rPr>
        <w:t>Table 15. Reporting-layer evaluation (11 reports, one per child, qwen2.5:7b). Rates are pooled over assertions and references rather than averaged over reports.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Result</w:t>
            </w:r>
          </w:p>
        </w:tc>
      </w:tr>
      <w:tr>
        <w:tc>
          <w:tcPr>
            <w:tcW w:type="dxa" w:w="4320"/>
          </w:tcPr>
          <w:p>
            <w:r>
              <w:rPr>
                <w:sz w:val="18"/>
              </w:rPr>
              <w:t>Content safety — reports containing prohibited diagnostic, treatment, causal or prognostic content</w:t>
            </w:r>
          </w:p>
        </w:tc>
        <w:tc>
          <w:tcPr>
            <w:tcW w:type="dxa" w:w="4320"/>
          </w:tcPr>
          <w:p>
            <w:r>
              <w:rPr>
                <w:sz w:val="18"/>
              </w:rPr>
              <w:t>0 of 11</w:t>
            </w:r>
          </w:p>
        </w:tc>
      </w:tr>
      <w:tr>
        <w:tc>
          <w:tcPr>
            <w:tcW w:type="dxa" w:w="4320"/>
          </w:tcPr>
          <w:p>
            <w:r>
              <w:rPr>
                <w:sz w:val="18"/>
              </w:rPr>
              <w:t>Evidence grounding — numeric assertions absent from the evidence packet</w:t>
            </w:r>
          </w:p>
        </w:tc>
        <w:tc>
          <w:tcPr>
            <w:tcW w:type="dxa" w:w="4320"/>
          </w:tcPr>
          <w:p>
            <w:r>
              <w:rPr>
                <w:sz w:val="18"/>
              </w:rPr>
              <w:t>8 of 122 (6.6%)</w:t>
            </w:r>
          </w:p>
        </w:tc>
      </w:tr>
      <w:tr>
        <w:tc>
          <w:tcPr>
            <w:tcW w:type="dxa" w:w="4320"/>
          </w:tcPr>
          <w:p>
            <w:r>
              <w:rPr>
                <w:sz w:val="18"/>
              </w:rPr>
              <w:t>Evidence grounding — invalid evidence references</w:t>
            </w:r>
          </w:p>
        </w:tc>
        <w:tc>
          <w:tcPr>
            <w:tcW w:type="dxa" w:w="4320"/>
          </w:tcPr>
          <w:p>
            <w:r>
              <w:rPr>
                <w:sz w:val="18"/>
              </w:rPr>
              <w:t>2 of 836 (0.2%)</w:t>
            </w:r>
          </w:p>
        </w:tc>
      </w:tr>
      <w:tr>
        <w:tc>
          <w:tcPr>
            <w:tcW w:type="dxa" w:w="4320"/>
          </w:tcPr>
          <w:p>
            <w:r>
              <w:rPr>
                <w:sz w:val="18"/>
              </w:rPr>
              <w:t>Evidence grounding — reports with no ungrounded value</w:t>
            </w:r>
          </w:p>
        </w:tc>
        <w:tc>
          <w:tcPr>
            <w:tcW w:type="dxa" w:w="4320"/>
          </w:tcPr>
          <w:p>
            <w:r>
              <w:rPr>
                <w:sz w:val="18"/>
              </w:rPr>
              <w:t>3 of 11</w:t>
            </w:r>
          </w:p>
        </w:tc>
      </w:tr>
      <w:tr>
        <w:tc>
          <w:tcPr>
            <w:tcW w:type="dxa" w:w="4320"/>
          </w:tcPr>
          <w:p>
            <w:r>
              <w:rPr>
                <w:sz w:val="18"/>
              </w:rPr>
              <w:t>Abstention preservation — reports passing deterministic governance validation</w:t>
            </w:r>
          </w:p>
        </w:tc>
        <w:tc>
          <w:tcPr>
            <w:tcW w:type="dxa" w:w="4320"/>
          </w:tcPr>
          <w:p>
            <w:r>
              <w:rPr>
                <w:sz w:val="18"/>
              </w:rPr>
              <w:t>0 of 11</w:t>
            </w:r>
          </w:p>
        </w:tc>
      </w:tr>
    </w:tbl>
    <w:p/>
    <w:p>
      <w:r>
        <w:rPr>
          <w:i w:val="0"/>
        </w:rPr>
        <w:t>Schema-constrained decoding produced structurally conformant reports for all 11 children. Structural conformance did not, however, imply governance conformance. Across the 11 reports the model made 122 numerical assertions, of which 8 were not present in the supplied evidence packet, and produced 2 invalid evidence references out of 836. No report contained prohibited diagnostic, treatment, causal or prognostic content. Nevertheless, none of the 11 passed deterministic governance validation, because analytics intentionally withheld by the adequacy router — cross-setting and cross-contributor comparisons — were not acknowledged as unavailable. The model did not fabricate these analyses; it silently omitted their absence. The distinction matters because a reader cannot tell a deliberately withheld analysis from one that was simply not attempted.</w:t>
      </w:r>
    </w:p>
    <w:p>
      <w:r>
        <w:rPr>
          <w:i/>
        </w:rPr>
        <w:t>Deterministic governance validation, as used here, checks the evidence and governance contract rather than output structure: prohibited content, acknowledgement of insufficient evidence, and acknowledgement of each withheld metric. A failure is not malformed output.</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would be more consequential than accuracy in any future clinical or intervention-monitoring pathway, because an unsupported value is indistinguishable in form from a supported one once written. The corpora analysed here are archival research transcripts, not observations collected through such a pathway, so this is an argument about the failure mode rather than a demonstration of clinical impact.</w:t>
      </w:r>
    </w:p>
    <w:p>
      <w:r>
        <w:rPr>
          <w:i w:val="0"/>
        </w:rPr>
        <w:t>Increasing model size within the locally served models evaluated did not resolve this failure. A larger and more recent generator, added after annotation and scored against the same gold, matched the best smaller model on accuracy while asserting unsupported values on 97% of opportunities — the highest rate in the roster. Across the four generators the relationship between abstention and unsupported assertion was consistently ordered, which locates the safety property in a model's willingness to decline rather than in its capability. With four models, all locally served and none at frontier scale, this is a descriptive observation about the roster evaluated rather than a general claim about model size.</w:t>
      </w:r>
    </w:p>
    <w:p>
      <w:r>
        <w:rPr>
          <w:i w:val="0"/>
        </w:rPr>
        <w:t>The reporting-layer failure was not primarily one of prohibited content generation. The constraint design prevented diagnosis, treatment recommendation, causal inference and prognostic claims in all evaluated reports. The failure concerned instead the preservation of abstention state: when upstream governance withheld an analysis, the reporting model omitted the analysis without communicating that it had been withheld. Safe downstream reporting therefore requires preservation of both available evidence and unavailable evidence states — a model can appear restrained, declining to invent the withheld comparison, while still breaking the governance contract by not reporting that anything was withheld.</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Fourteen specific claims require citation rather than assertion, enumerated with the kind of source each needs in `docs/paper/prior_work_specification.md`. Eight are established methods the paper must not appear to claim — maximum attainable kappa under fixed marginals, the Fleiss-Cohen-Everitt variance, the interpretive bands, the cluster bootstrap, the exact McNemar test, the agreement-reporting guideline, and both corpora. Six are positioning claims where the section must establish what is new: controlled evaluation of a codebook revision, explicit null annotation as a way to make unsupported assertion measurable, abstention as a hazard rather than a cost, negative results in multi-model selection, governance around generative components, and schema-constrained decoding.</w:t>
      </w:r>
    </w:p>
    <w:p>
      <w:pPr>
        <w:pStyle w:val="Heading2"/>
      </w:pPr>
      <w:r>
        <w:t>Conclusions</w:t>
      </w:r>
    </w:p>
    <w:p>
      <w:r>
        <w:rPr>
          <w:i w:val="0"/>
        </w:rPr>
        <w:t>A rigorous evaluation process applied to this pipeline exposed failure at two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and the effect is large. The batch retained only segments where all three generators produced an admissible response; on the model-independent held-out sample all three are jointly admissible on 2.3% of segments against 12.4% of the batch. Reported accuracy, unsupported-assertion rates and the oracle ceiling therefore describe segments the models could attempt, and the corresponding figures on an unselected sample are pending adjudication of the held-out reference standard.</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Reranking is an offline evaluation method, not a deployed component, and is not intended to become one. It runs over recorded generator outputs to establish what candidate selection could contribute given a roster; the running application uses a single extraction provider. No claim about system behaviour in use follows from the MARS results, and no four-generator reranking run has been performed at all.</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Transfer to the deployed input distribution is assumed, not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Reporting-layer groundedness under a frontier model, or under any model without schema-constrained decoding.</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Extraction accuracy and unsupported-assertion rates on the model-independent held-out sample: both annotators have completed it and generator runs are recorded, but the reference standard awaits adjudication of 133 conflicting fields.</w:t>
      </w:r>
    </w:p>
    <w:p>
      <w:pPr>
        <w:pStyle w:val="ListBullet"/>
      </w:pPr>
      <w:r>
        <w:t>• Whether the codebook, rather than accumulated annotator experience, accounts for the first-pass agreement observed on the held-out round -- that round has no untreated control.</w:t>
      </w:r>
    </w:p>
    <w:p>
      <w:pPr>
        <w:pStyle w:val="ListBullet"/>
      </w:pPr>
      <w:r>
        <w:t>• A frontier-scale generator: the four models evaluated are all locally served.</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2" name="Picture 22"/>
            <wp:cNvGraphicFramePr>
              <a:graphicFrameLocks noChangeAspect="1"/>
            </wp:cNvGraphicFramePr>
            <a:graphic>
              <a:graphicData uri="http://schemas.openxmlformats.org/drawingml/2006/picture">
                <pic:pic>
                  <pic:nvPicPr>
                    <pic:cNvPr id="0" name="fig4_pilot_superseded.png"/>
                    <pic:cNvPicPr/>
                  </pic:nvPicPr>
                  <pic:blipFill>
                    <a:blip r:embed="rId30"/>
                    <a:stretch>
                      <a:fillRect/>
                    </a:stretch>
                  </pic:blipFill>
                  <pic:spPr>
                    <a:xfrm>
                      <a:off x="0" y="0"/>
                      <a:ext cx="5760720" cy="2424476"/>
                    </a:xfrm>
                    <a:prstGeom prst="rect"/>
                  </pic:spPr>
                </pic:pic>
              </a:graphicData>
            </a:graphic>
          </wp:inline>
        </w:drawing>
      </w:r>
    </w:p>
    <w:p>
      <w:pPr>
        <w:jc w:val="center"/>
      </w:pPr>
      <w:r>
        <w:rPr>
          <w:i/>
          <w:color w:val="7B8994"/>
          <w:sz w:val="18"/>
        </w:rPr>
        <w:t>Figure 22. Pilot field accuracy (superseded). Retained for provenance, not as a result.</w:t>
      </w:r>
    </w:p>
    <w:p>
      <w:pPr>
        <w:pStyle w:val="Heading1"/>
      </w:pPr>
      <w:r>
        <w:t>Reproducibility</w:t>
      </w:r>
    </w:p>
    <w:p>
      <w:r>
        <w:rPr>
          <w:i w:val="0"/>
        </w:rPr>
        <w:t>All results derive from 51 recorded artefacts, of which 33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