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Autism Q1 Manuscript – Round 6</w:t>
        <w:br/>
        <w:t>Technical Questions for Architect</w:t>
      </w:r>
    </w:p>
    <w:p>
      <w:pPr>
        <w:jc w:val="center"/>
      </w:pPr>
      <w:r>
        <w:rPr>
          <w:i/>
          <w:sz w:val="19"/>
        </w:rPr>
        <w:t>Internal working document – only the two Round-6 items that require technical analysis</w:t>
      </w:r>
    </w:p>
    <w:p>
      <w:pPr>
        <w:pStyle w:val="Heading1"/>
      </w:pPr>
      <w:r>
        <w:t>Purpose</w:t>
      </w:r>
    </w:p>
    <w:p>
      <w:r>
        <w:t>The Round-6 review contains four comments. Only R6-1 and R6-3 require additional technical analysis. R6-2 and R6-4 are manuscript-interpretation/wording changes and will be handled by the authors without further code or model work.</w:t>
      </w:r>
    </w:p>
    <w:p>
      <w:r>
        <w:rPr>
          <w:b/>
        </w:rPr>
        <w:t xml:space="preserve">Please keep the scope narrow. </w:t>
      </w:r>
      <w:r>
        <w:t>No model re-runs, no new annotation, no re-adjudication, no sample redraw, and no replacement of frozen records are requested. Use the existing preserved artifacts, source-line identities, and annotator labels.</w:t>
      </w:r>
    </w:p>
    <w:p>
      <w:pPr>
        <w:pStyle w:val="Heading1"/>
      </w:pPr>
      <w:r>
        <w:t>Requested outputs at a glance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Priority</w:t>
            </w:r>
          </w:p>
        </w:tc>
        <w:tc>
          <w:tcPr>
            <w:tcW w:type="dxa" w:w="2520"/>
            <w:vAlign w:val="center"/>
          </w:tcPr>
          <w:p>
            <w:r>
              <w:rPr>
                <w:b/>
              </w:rPr>
              <w:t>Comment</w:t>
            </w:r>
          </w:p>
        </w:tc>
        <w:tc>
          <w:tcPr>
            <w:tcW w:type="dxa" w:w="2520"/>
            <w:vAlign w:val="center"/>
          </w:tcPr>
          <w:p>
            <w:r>
              <w:rPr>
                <w:b/>
              </w:rPr>
              <w:t>Needed analysis</w:t>
            </w:r>
          </w:p>
        </w:tc>
        <w:tc>
          <w:tcPr>
            <w:tcW w:type="dxa" w:w="2520"/>
            <w:vAlign w:val="center"/>
          </w:tcPr>
          <w:p>
            <w:r>
              <w:rPr>
                <w:b/>
              </w:rPr>
              <w:t>Key deliverable</w:t>
            </w:r>
          </w:p>
        </w:tc>
      </w:tr>
      <w:tr>
        <w:tc>
          <w:tcPr>
            <w:tcW w:type="dxa" w:w="2520"/>
            <w:vAlign w:val="center"/>
          </w:tcPr>
          <w:p>
            <w:r>
              <w:t>1</w:t>
            </w:r>
          </w:p>
        </w:tc>
        <w:tc>
          <w:tcPr>
            <w:tcW w:type="dxa" w:w="2520"/>
            <w:vAlign w:val="center"/>
          </w:tcPr>
          <w:p>
            <w:r>
              <w:t>R6-1</w:t>
            </w:r>
          </w:p>
        </w:tc>
        <w:tc>
          <w:tcPr>
            <w:tcW w:type="dxa" w:w="2520"/>
            <w:vAlign w:val="center"/>
          </w:tcPr>
          <w:p>
            <w:r>
              <w:t>Source-turn overlap audit: post-audit 121 vs main-batch 330</w:t>
            </w:r>
          </w:p>
        </w:tc>
        <w:tc>
          <w:tcPr>
            <w:tcW w:type="dxa" w:w="2520"/>
            <w:vAlign w:val="center"/>
          </w:tcPr>
          <w:p>
            <w:r>
              <w:t>Affected episodes + small sensitivity analysis</w:t>
            </w:r>
          </w:p>
        </w:tc>
      </w:tr>
      <w:tr>
        <w:tc>
          <w:tcPr>
            <w:tcW w:type="dxa" w:w="2520"/>
            <w:vAlign w:val="center"/>
          </w:tcPr>
          <w:p>
            <w:r>
              <w:t>2</w:t>
            </w:r>
          </w:p>
        </w:tc>
        <w:tc>
          <w:tcPr>
            <w:tcW w:type="dxa" w:w="2520"/>
            <w:vAlign w:val="center"/>
          </w:tcPr>
          <w:p>
            <w:r>
              <w:t>R6-3</w:t>
            </w:r>
          </w:p>
        </w:tc>
        <w:tc>
          <w:tcPr>
            <w:tcW w:type="dxa" w:w="2520"/>
            <w:vAlign w:val="center"/>
          </w:tcPr>
          <w:p>
            <w:r>
              <w:t>Recompute annotator reliability on overlap-excluded 121</w:t>
            </w:r>
          </w:p>
        </w:tc>
        <w:tc>
          <w:tcPr>
            <w:tcW w:type="dxa" w:w="2520"/>
            <w:vAlign w:val="center"/>
          </w:tcPr>
          <w:p>
            <w:r>
              <w:t>4 field kappas + mean kappa</w:t>
            </w:r>
          </w:p>
        </w:tc>
      </w:tr>
    </w:tbl>
    <w:p>
      <w:pPr>
        <w:pStyle w:val="Heading1"/>
      </w:pPr>
      <w:r>
        <w:t>R6-1 – Source-turn overlap audit</w:t>
      </w:r>
    </w:p>
    <w:p>
      <w:pPr>
        <w:pStyle w:val="Heading2"/>
      </w:pPr>
      <w:r>
        <w:t>Why the reviewer is asking</w:t>
      </w:r>
    </w:p>
    <w:p>
      <w:r>
        <w:t>The current stable-identity audit removes identical episodes, but the episode-construction procedure allows adjacent episodes to share one source utterance. Stable identity based on session + source start line therefore does not by itself prove that the post-audit 121 evaluation episodes share no underlying source turns with the 330 main-batch episodes.</w:t>
      </w:r>
    </w:p>
    <w:p>
      <w:pPr>
        <w:pStyle w:val="Heading2"/>
      </w:pPr>
      <w:r>
        <w:t>Please perform this audit</w:t>
      </w:r>
    </w:p>
    <w:p>
      <w:pPr>
        <w:pStyle w:val="ListBullet"/>
      </w:pPr>
      <w:r>
        <w:t>For every episode in the post-audit overlap-excluded 121-set, obtain the exact set/range of underlying source utterance or source-line identifiers used to construct that episode.</w:t>
      </w:r>
    </w:p>
    <w:p>
      <w:pPr>
        <w:pStyle w:val="ListBullet"/>
      </w:pPr>
      <w:r>
        <w:t>Do the same for the 330 main-batch episodes.</w:t>
      </w:r>
    </w:p>
    <w:p>
      <w:pPr>
        <w:pStyle w:val="ListBullet"/>
      </w:pPr>
      <w:r>
        <w:t>Within the same child/session, compare the underlying source-line sets and identify any 121-set episode that shares at least one source turn with any main-batch episode.</w:t>
      </w:r>
    </w:p>
    <w:p>
      <w:pPr>
        <w:pStyle w:val="ListBullet"/>
      </w:pPr>
      <w:r>
        <w:t>Use source-line/utterance identity, not rendered text matching, because different episodes can contain identical text.</w:t>
      </w:r>
    </w:p>
    <w:p>
      <w:pPr>
        <w:pStyle w:val="Heading2"/>
      </w:pPr>
      <w:r>
        <w:t>Please return these counts</w:t>
      </w:r>
    </w:p>
    <w:p>
      <w:pPr>
        <w:pStyle w:val="ListBullet"/>
      </w:pPr>
      <w:r>
        <w:t>Number of the 121 evaluation episodes that share at least one source turn with the 330 main batch.</w:t>
      </w:r>
    </w:p>
    <w:p>
      <w:pPr>
        <w:pStyle w:val="ListBullet"/>
      </w:pPr>
      <w:r>
        <w:t>Number of distinct main-batch episodes involved in such cross-set sharing.</w:t>
      </w:r>
    </w:p>
    <w:p>
      <w:pPr>
        <w:pStyle w:val="ListBullet"/>
      </w:pPr>
      <w:r>
        <w:t>Number of distinct shared source turns/utterance lines, with a per-child or per-session breakdown if straightforward.</w:t>
      </w:r>
    </w:p>
    <w:p>
      <w:pPr>
        <w:pStyle w:val="ListBullet"/>
      </w:pPr>
      <w:r>
        <w:t>For each affected evaluation episode, how many source turns are shared with the matched main-batch episode(s).</w:t>
      </w:r>
    </w:p>
    <w:p>
      <w:pPr>
        <w:pStyle w:val="ListBullet"/>
      </w:pPr>
      <w:r>
        <w:t>The number of evaluation episodes remaining after excluding every source-turn-overlapping evaluation episode for sensitivity analysis.</w:t>
      </w:r>
    </w:p>
    <w:p>
      <w:pPr>
        <w:pStyle w:val="Heading2"/>
      </w:pPr>
      <w:r>
        <w:t>Sensitivity analysis only if any overlap is found</w:t>
      </w:r>
    </w:p>
    <w:p>
      <w:r>
        <w:t>Without redrawing or replacing any episode, exclude the affected evaluation episodes only for a sensitivity analysis and recompute the central post-audit evaluation metrics for all four generators:</w:t>
      </w:r>
    </w:p>
    <w:p>
      <w:pPr>
        <w:pStyle w:val="ListBullet2"/>
      </w:pPr>
      <w:r>
        <w:t>Merged categorical agreement</w:t>
      </w:r>
    </w:p>
    <w:p>
      <w:pPr>
        <w:pStyle w:val="ListBullet2"/>
      </w:pPr>
      <w:r>
        <w:t>Unsupported-assertion rate</w:t>
      </w:r>
    </w:p>
    <w:p>
      <w:pPr>
        <w:pStyle w:val="ListBullet2"/>
      </w:pPr>
      <w:r>
        <w:t>Whole-record agreement</w:t>
      </w:r>
    </w:p>
    <w:p>
      <w:r>
        <w:t>Please provide the resulting N and point estimates. If the existing analysis utility can produce the same child-cluster 95% confidence intervals with minimal work, include them; otherwise point estimates are sufficient for us to determine whether the manuscript conclusion changes.</w:t>
      </w:r>
    </w:p>
    <w:p>
      <w:r>
        <w:rPr>
          <w:b/>
        </w:rPr>
        <w:t xml:space="preserve">Important: </w:t>
      </w:r>
      <w:r>
        <w:t>This is an audit/sensitivity check only. Do not redraw the frozen evaluation set, do not replace excluded episodes, and do not change the existing reference labels.</w:t>
      </w:r>
    </w:p>
    <w:p>
      <w:pPr>
        <w:pStyle w:val="Heading2"/>
      </w:pPr>
      <w:r>
        <w:t>Preferred response format for R6-1</w:t>
      </w:r>
    </w:p>
    <w:p>
      <w:pPr>
        <w:pStyle w:val="ListBullet"/>
      </w:pPr>
      <w:r>
        <w:t>Short explanation of the matching key/logic used.</w:t>
      </w:r>
    </w:p>
    <w:p>
      <w:pPr>
        <w:pStyle w:val="ListBullet"/>
      </w:pPr>
      <w:r>
        <w:t>Compact table of affected evaluation episodes (opaque/study IDs are fine), child/session, matched main-batch episode, and number of shared turns.</w:t>
      </w:r>
    </w:p>
    <w:p>
      <w:pPr>
        <w:pStyle w:val="ListBullet"/>
      </w:pPr>
      <w:r>
        <w:t>Summary counts.</w:t>
      </w:r>
    </w:p>
    <w:p>
      <w:pPr>
        <w:pStyle w:val="ListBullet"/>
      </w:pPr>
      <w:r>
        <w:t>Sensitivity-result table if any overlap exists.</w:t>
      </w:r>
    </w:p>
    <w:p>
      <w:pPr>
        <w:pStyle w:val="ListBullet"/>
      </w:pPr>
      <w:r>
        <w:t>Name(s) of the source artifact/script/output file used or generated.</w:t>
      </w:r>
    </w:p>
    <w:p>
      <w:pPr>
        <w:pStyle w:val="Heading1"/>
      </w:pPr>
      <w:r>
        <w:t>R6-3 – Reliability sensitivity on the overlap-excluded 121-set</w:t>
      </w:r>
    </w:p>
    <w:p>
      <w:pPr>
        <w:pStyle w:val="Heading2"/>
      </w:pPr>
      <w:r>
        <w:t>Why the reviewer is asking</w:t>
      </w:r>
    </w:p>
    <w:p>
      <w:r>
        <w:t>The frozen 132-set is described as a first-pass evaluation annotation round with mean kappa 0.910. The stable-identity audit later showed that one of those 132 episodes also entered the 330 main batch. The reviewer therefore wants the reliability result recomputed after removing all 11 pool-overlapping episodes.</w:t>
      </w:r>
    </w:p>
    <w:p>
      <w:pPr>
        <w:pStyle w:val="Heading2"/>
      </w:pPr>
      <w:r>
        <w:t>Please compute from the existing annotator labels</w:t>
      </w:r>
    </w:p>
    <w:p>
      <w:r>
        <w:t>Using the existing pre-adjudication Annotator A and Annotator B labels for the post-audit overlap-excluded 121 evaluation episodes, compute Cohen's kappa separately for:</w:t>
      </w:r>
    </w:p>
    <w:p>
      <w:pPr>
        <w:pStyle w:val="ListBullet"/>
      </w:pPr>
      <w:r>
        <w:t>domain</w:t>
      </w:r>
    </w:p>
    <w:p>
      <w:pPr>
        <w:pStyle w:val="ListBullet"/>
      </w:pPr>
      <w:r>
        <w:t>modality</w:t>
      </w:r>
    </w:p>
    <w:p>
      <w:pPr>
        <w:pStyle w:val="ListBullet"/>
      </w:pPr>
      <w:r>
        <w:t>prompt_level</w:t>
      </w:r>
    </w:p>
    <w:p>
      <w:pPr>
        <w:pStyle w:val="ListBullet"/>
      </w:pPr>
      <w:r>
        <w:t>outcome</w:t>
      </w:r>
    </w:p>
    <w:p>
      <w:r>
        <w:t>Then report the unweighted mean of the four field-specific kappas, using the same definition used for the published 132-set mean.</w:t>
      </w:r>
    </w:p>
    <w:p>
      <w:r>
        <w:t>If the existing reliability script can produce the same 10,000-replicate child-cluster 95% confidence intervals without substantial new implementation, please include them. Please also show the original 132-set values beside the 121-set values so we can see whether the reliability interpretation materially changes.</w:t>
      </w:r>
    </w:p>
    <w:p>
      <w:pPr>
        <w:pStyle w:val="Heading2"/>
      </w:pPr>
      <w:r>
        <w:t>Preferred response format for R6-3</w:t>
      </w:r>
    </w:p>
    <w:p>
      <w:pPr>
        <w:pStyle w:val="ListBullet"/>
      </w:pPr>
      <w:r>
        <w:t>Table: field | 132-set kappa | 121-set kappa | 121-set 95% CI (if available).</w:t>
      </w:r>
    </w:p>
    <w:p>
      <w:pPr>
        <w:pStyle w:val="ListBullet"/>
      </w:pPr>
      <w:r>
        <w:t>Unweighted mean kappa for the 121-set.</w:t>
      </w:r>
    </w:p>
    <w:p>
      <w:pPr>
        <w:pStyle w:val="ListBullet"/>
      </w:pPr>
      <w:r>
        <w:t>One sentence stating whether the result is essentially unchanged, modestly changed, or materially changed relative to the 132-set.</w:t>
      </w:r>
    </w:p>
    <w:p>
      <w:pPr>
        <w:pStyle w:val="ListBullet"/>
      </w:pPr>
      <w:r>
        <w:t>Name of the label/artifact file and script/output used.</w:t>
      </w:r>
    </w:p>
    <w:p>
      <w:pPr>
        <w:pStyle w:val="Heading1"/>
      </w:pPr>
      <w:r>
        <w:t>No architect action required for R6-2 and R6-4</w:t>
      </w:r>
    </w:p>
    <w:p>
      <w:r>
        <w:rPr>
          <w:b/>
        </w:rPr>
        <w:t xml:space="preserve">R6-2 – Strongest-generator comparator is in-sample/data-selected. </w:t>
      </w:r>
      <w:r>
        <w:t>We already have the required facts. The manuscript will explicitly state that this comparator was selected using the same main-batch reference labels and is therefore an optimistic in-sample benchmark rather than an independently selected policy.</w:t>
      </w:r>
    </w:p>
    <w:p>
      <w:r>
        <w:rPr>
          <w:b/>
        </w:rPr>
        <w:t xml:space="preserve">R6-4 – 80.3% is full-policy coverage, not reranking coverage. </w:t>
      </w:r>
      <w:r>
        <w:t>This is a wording clarification only. The manuscript will distinguish the full MARS selector policy (80.3% returned a record) from the 142 segments that underwent a genuine usable reranking decision.</w:t>
      </w:r>
    </w:p>
    <w:p>
      <w:pPr>
        <w:pStyle w:val="Heading1"/>
      </w:pPr>
      <w:r>
        <w:t>What to send back</w:t>
      </w:r>
    </w:p>
    <w:p>
      <w:r>
        <w:t>Please send the R6-1 and R6-3 results as raw output if convenient (tables, JSON, script output, screenshots, or a short response document are all fine). We will independently interpret the findings and write the manuscript text. There is no need to draft the manuscript wording unless you want to provide it as optional context.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