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90" w:rsidRDefault="00CA349D">
      <w:r>
        <w:t xml:space="preserve">Name: Md. Adnan </w:t>
      </w:r>
      <w:proofErr w:type="spellStart"/>
      <w:r>
        <w:t>Younus</w:t>
      </w:r>
      <w:proofErr w:type="spellEnd"/>
      <w:r>
        <w:br/>
        <w:t>ID: 011171018</w:t>
      </w:r>
    </w:p>
    <w:p w:rsidR="00CA349D" w:rsidRDefault="00CA349D"/>
    <w:p w:rsidR="00CA349D" w:rsidRDefault="00CA349D">
      <w:r>
        <w:t>Number of delays 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79"/>
        <w:gridCol w:w="2168"/>
        <w:gridCol w:w="2168"/>
      </w:tblGrid>
      <w:tr w:rsidR="00CA349D" w:rsidTr="00CA349D">
        <w:tc>
          <w:tcPr>
            <w:tcW w:w="1870" w:type="dxa"/>
          </w:tcPr>
          <w:p w:rsidR="00CA349D" w:rsidRDefault="00CA349D">
            <w:r>
              <w:t>Performance Measure</w:t>
            </w:r>
          </w:p>
        </w:tc>
        <w:tc>
          <w:tcPr>
            <w:tcW w:w="1870" w:type="dxa"/>
          </w:tcPr>
          <w:p w:rsidR="00CA349D" w:rsidRDefault="00CA349D">
            <w:r>
              <w:t>FIFO</w:t>
            </w:r>
          </w:p>
        </w:tc>
        <w:tc>
          <w:tcPr>
            <w:tcW w:w="1870" w:type="dxa"/>
          </w:tcPr>
          <w:p w:rsidR="00CA349D" w:rsidRDefault="00CA349D">
            <w:r>
              <w:t>SJF</w:t>
            </w:r>
          </w:p>
        </w:tc>
        <w:tc>
          <w:tcPr>
            <w:tcW w:w="1870" w:type="dxa"/>
          </w:tcPr>
          <w:p w:rsidR="00CA349D" w:rsidRDefault="00CA349D">
            <w:r>
              <w:t>LIFO</w:t>
            </w:r>
          </w:p>
        </w:tc>
      </w:tr>
      <w:tr w:rsidR="00CA349D" w:rsidTr="00CA349D">
        <w:tc>
          <w:tcPr>
            <w:tcW w:w="1870" w:type="dxa"/>
          </w:tcPr>
          <w:p w:rsidR="00CA349D" w:rsidRDefault="00CA349D">
            <w:r>
              <w:rPr>
                <w:rFonts w:ascii="ArialMT" w:hAnsi="ArialMT" w:cs="ArialMT"/>
              </w:rPr>
              <w:t>Average Delay</w:t>
            </w:r>
          </w:p>
        </w:tc>
        <w:tc>
          <w:tcPr>
            <w:tcW w:w="1870" w:type="dxa"/>
          </w:tcPr>
          <w:p w:rsidR="00CA349D" w:rsidRDefault="001A799D">
            <w:r w:rsidRPr="001A799D">
              <w:t>0.42132813865433166</w:t>
            </w:r>
          </w:p>
        </w:tc>
        <w:tc>
          <w:tcPr>
            <w:tcW w:w="1870" w:type="dxa"/>
          </w:tcPr>
          <w:p w:rsidR="00CA349D" w:rsidRDefault="001A799D">
            <w:r w:rsidRPr="001A799D">
              <w:t>0.2636782982767726</w:t>
            </w:r>
          </w:p>
        </w:tc>
        <w:tc>
          <w:tcPr>
            <w:tcW w:w="1870" w:type="dxa"/>
          </w:tcPr>
          <w:p w:rsidR="00CA349D" w:rsidRDefault="001A799D">
            <w:r w:rsidRPr="001A799D">
              <w:t>0.3518306681877954</w:t>
            </w:r>
          </w:p>
        </w:tc>
      </w:tr>
      <w:tr w:rsidR="00CA349D" w:rsidTr="00CA349D">
        <w:tc>
          <w:tcPr>
            <w:tcW w:w="1870" w:type="dxa"/>
          </w:tcPr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 Number</w:t>
            </w:r>
          </w:p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of Customers in</w:t>
            </w:r>
          </w:p>
          <w:p w:rsidR="00CA349D" w:rsidRDefault="00CA349D" w:rsidP="00CA349D">
            <w:r>
              <w:rPr>
                <w:rFonts w:ascii="ArialMT" w:hAnsi="ArialMT" w:cs="ArialMT"/>
              </w:rPr>
              <w:t>the queue</w:t>
            </w:r>
          </w:p>
        </w:tc>
        <w:tc>
          <w:tcPr>
            <w:tcW w:w="1870" w:type="dxa"/>
          </w:tcPr>
          <w:p w:rsidR="00CA349D" w:rsidRDefault="001A799D">
            <w:r w:rsidRPr="001A799D">
              <w:t>0.8635379484969721</w:t>
            </w:r>
          </w:p>
        </w:tc>
        <w:tc>
          <w:tcPr>
            <w:tcW w:w="1870" w:type="dxa"/>
          </w:tcPr>
          <w:p w:rsidR="00CA349D" w:rsidRDefault="001A799D">
            <w:r w:rsidRPr="001A799D">
              <w:t>0.6467133468640393</w:t>
            </w:r>
          </w:p>
        </w:tc>
        <w:tc>
          <w:tcPr>
            <w:tcW w:w="1870" w:type="dxa"/>
          </w:tcPr>
          <w:p w:rsidR="00CA349D" w:rsidRDefault="001A799D">
            <w:r w:rsidRPr="001A799D">
              <w:t>0.8441920377610541</w:t>
            </w:r>
          </w:p>
        </w:tc>
      </w:tr>
      <w:tr w:rsidR="00CA349D" w:rsidRPr="001A799D" w:rsidTr="001A799D">
        <w:tc>
          <w:tcPr>
            <w:tcW w:w="1870" w:type="dxa"/>
          </w:tcPr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</w:t>
            </w:r>
          </w:p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Utilization of the</w:t>
            </w:r>
          </w:p>
          <w:p w:rsidR="00CA349D" w:rsidRDefault="00CA349D" w:rsidP="00CA349D">
            <w:r>
              <w:rPr>
                <w:rFonts w:ascii="ArialMT" w:hAnsi="ArialMT" w:cs="ArialMT"/>
              </w:rPr>
              <w:t>server-1</w:t>
            </w:r>
          </w:p>
        </w:tc>
        <w:tc>
          <w:tcPr>
            <w:tcW w:w="1870" w:type="dxa"/>
          </w:tcPr>
          <w:p w:rsidR="00CA349D" w:rsidRDefault="001A799D">
            <w:r w:rsidRPr="001A799D">
              <w:t>0.8753107776487685</w:t>
            </w:r>
          </w:p>
        </w:tc>
        <w:tc>
          <w:tcPr>
            <w:tcW w:w="1870" w:type="dxa"/>
          </w:tcPr>
          <w:p w:rsidR="00CA349D" w:rsidRDefault="001A799D">
            <w:r w:rsidRPr="001A799D">
              <w:t>0.8714524175014424</w:t>
            </w:r>
          </w:p>
        </w:tc>
        <w:tc>
          <w:tcPr>
            <w:tcW w:w="1870" w:type="dxa"/>
            <w:shd w:val="clear" w:color="auto" w:fill="auto"/>
          </w:tcPr>
          <w:p w:rsidR="00CA349D" w:rsidRDefault="001A799D">
            <w:r w:rsidRPr="001A799D">
              <w:t>0.8902107553975309</w:t>
            </w:r>
          </w:p>
        </w:tc>
      </w:tr>
      <w:tr w:rsidR="00CA349D" w:rsidTr="00CA349D">
        <w:tc>
          <w:tcPr>
            <w:tcW w:w="1870" w:type="dxa"/>
          </w:tcPr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</w:t>
            </w:r>
          </w:p>
          <w:p w:rsidR="00CA349D" w:rsidRDefault="00CA349D" w:rsidP="00CA349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Utilization of the</w:t>
            </w:r>
          </w:p>
          <w:p w:rsidR="00CA349D" w:rsidRDefault="00CA349D" w:rsidP="00CA349D">
            <w:r>
              <w:rPr>
                <w:rFonts w:ascii="ArialMT" w:hAnsi="ArialMT" w:cs="ArialMT"/>
              </w:rPr>
              <w:t>server-2</w:t>
            </w:r>
          </w:p>
        </w:tc>
        <w:tc>
          <w:tcPr>
            <w:tcW w:w="1870" w:type="dxa"/>
          </w:tcPr>
          <w:p w:rsidR="00CA349D" w:rsidRDefault="001A799D">
            <w:r w:rsidRPr="001A799D">
              <w:t>0.6785447943750531</w:t>
            </w:r>
          </w:p>
        </w:tc>
        <w:tc>
          <w:tcPr>
            <w:tcW w:w="1870" w:type="dxa"/>
          </w:tcPr>
          <w:p w:rsidR="00CA349D" w:rsidRDefault="001A799D">
            <w:r w:rsidRPr="001A799D">
              <w:t>0.6685977441717876</w:t>
            </w:r>
          </w:p>
        </w:tc>
        <w:tc>
          <w:tcPr>
            <w:tcW w:w="1870" w:type="dxa"/>
          </w:tcPr>
          <w:p w:rsidR="00CA349D" w:rsidRDefault="001A799D">
            <w:r w:rsidRPr="001A799D">
              <w:t>0.7169577006448807</w:t>
            </w:r>
          </w:p>
        </w:tc>
      </w:tr>
    </w:tbl>
    <w:p w:rsidR="00CA349D" w:rsidRDefault="00CA349D"/>
    <w:p w:rsidR="007656EE" w:rsidRDefault="007656EE" w:rsidP="007656EE">
      <w:r>
        <w:t>Number of delays =30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79"/>
        <w:gridCol w:w="2279"/>
        <w:gridCol w:w="2279"/>
      </w:tblGrid>
      <w:tr w:rsidR="007656EE" w:rsidTr="00FB3BEE">
        <w:tc>
          <w:tcPr>
            <w:tcW w:w="1870" w:type="dxa"/>
          </w:tcPr>
          <w:p w:rsidR="007656EE" w:rsidRDefault="007656EE" w:rsidP="00FB3BEE">
            <w:r>
              <w:t>Performance Measure</w:t>
            </w:r>
          </w:p>
        </w:tc>
        <w:tc>
          <w:tcPr>
            <w:tcW w:w="1870" w:type="dxa"/>
          </w:tcPr>
          <w:p w:rsidR="007656EE" w:rsidRDefault="007656EE" w:rsidP="00FB3BEE">
            <w:r>
              <w:t>FIFO</w:t>
            </w:r>
          </w:p>
        </w:tc>
        <w:tc>
          <w:tcPr>
            <w:tcW w:w="1870" w:type="dxa"/>
          </w:tcPr>
          <w:p w:rsidR="007656EE" w:rsidRDefault="007656EE" w:rsidP="00FB3BEE">
            <w:r>
              <w:t>SJF</w:t>
            </w:r>
          </w:p>
        </w:tc>
        <w:tc>
          <w:tcPr>
            <w:tcW w:w="1870" w:type="dxa"/>
          </w:tcPr>
          <w:p w:rsidR="007656EE" w:rsidRDefault="007656EE" w:rsidP="00FB3BEE">
            <w:r>
              <w:t>LIFO</w:t>
            </w:r>
          </w:p>
        </w:tc>
      </w:tr>
      <w:tr w:rsidR="007656EE" w:rsidTr="00FB3BEE">
        <w:tc>
          <w:tcPr>
            <w:tcW w:w="1870" w:type="dxa"/>
          </w:tcPr>
          <w:p w:rsidR="007656EE" w:rsidRDefault="007656EE" w:rsidP="00FB3BEE">
            <w:r>
              <w:rPr>
                <w:rFonts w:ascii="ArialMT" w:hAnsi="ArialMT" w:cs="ArialMT"/>
              </w:rPr>
              <w:t>Average Delay</w:t>
            </w:r>
          </w:p>
        </w:tc>
        <w:tc>
          <w:tcPr>
            <w:tcW w:w="1870" w:type="dxa"/>
          </w:tcPr>
          <w:p w:rsidR="007656EE" w:rsidRDefault="001A799D" w:rsidP="00FB3BEE">
            <w:r w:rsidRPr="001A799D">
              <w:t>0.25196264203289026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0.1384105459914385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0.1384105459914385</w:t>
            </w:r>
          </w:p>
        </w:tc>
      </w:tr>
      <w:tr w:rsidR="007656EE" w:rsidTr="00FB3BEE">
        <w:tc>
          <w:tcPr>
            <w:tcW w:w="1870" w:type="dxa"/>
          </w:tcPr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 Number</w:t>
            </w:r>
          </w:p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of Customers in</w:t>
            </w:r>
          </w:p>
          <w:p w:rsidR="007656EE" w:rsidRDefault="007656EE" w:rsidP="00FB3BEE">
            <w:r>
              <w:rPr>
                <w:rFonts w:ascii="ArialMT" w:hAnsi="ArialMT" w:cs="ArialMT"/>
              </w:rPr>
              <w:t>the queue</w:t>
            </w:r>
          </w:p>
        </w:tc>
        <w:tc>
          <w:tcPr>
            <w:tcW w:w="1870" w:type="dxa"/>
          </w:tcPr>
          <w:p w:rsidR="007656EE" w:rsidRDefault="001A799D" w:rsidP="00FB3BEE">
            <w:r w:rsidRPr="001A799D">
              <w:t>0.5137152730255187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0.28050184410880535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0.28050184410880535</w:t>
            </w:r>
          </w:p>
        </w:tc>
      </w:tr>
      <w:tr w:rsidR="007656EE" w:rsidTr="00FB3BEE">
        <w:tc>
          <w:tcPr>
            <w:tcW w:w="1870" w:type="dxa"/>
          </w:tcPr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</w:t>
            </w:r>
          </w:p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Utilization of the</w:t>
            </w:r>
          </w:p>
          <w:p w:rsidR="007656EE" w:rsidRDefault="007656EE" w:rsidP="00FB3BEE">
            <w:r>
              <w:rPr>
                <w:rFonts w:ascii="ArialMT" w:hAnsi="ArialMT" w:cs="ArialMT"/>
              </w:rPr>
              <w:t>server-1</w:t>
            </w:r>
          </w:p>
        </w:tc>
        <w:tc>
          <w:tcPr>
            <w:tcW w:w="1870" w:type="dxa"/>
          </w:tcPr>
          <w:p w:rsidR="007656EE" w:rsidRDefault="001A799D" w:rsidP="00FB3BEE">
            <w:r w:rsidRPr="001A799D">
              <w:t>0.7901585666622782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0.7884107957202102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0.7884107957202102</w:t>
            </w:r>
          </w:p>
        </w:tc>
      </w:tr>
      <w:tr w:rsidR="007656EE" w:rsidTr="00FB3BEE">
        <w:tc>
          <w:tcPr>
            <w:tcW w:w="1870" w:type="dxa"/>
          </w:tcPr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Expected</w:t>
            </w:r>
          </w:p>
          <w:p w:rsidR="007656EE" w:rsidRDefault="007656EE" w:rsidP="00FB3BE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Utilization of the</w:t>
            </w:r>
          </w:p>
          <w:p w:rsidR="007656EE" w:rsidRDefault="007656EE" w:rsidP="00FB3BEE">
            <w:r>
              <w:rPr>
                <w:rFonts w:ascii="ArialMT" w:hAnsi="ArialMT" w:cs="ArialMT"/>
              </w:rPr>
              <w:t>server-2</w:t>
            </w:r>
          </w:p>
        </w:tc>
        <w:tc>
          <w:tcPr>
            <w:tcW w:w="1870" w:type="dxa"/>
          </w:tcPr>
          <w:p w:rsidR="007656EE" w:rsidRDefault="001A799D" w:rsidP="00FB3BEE">
            <w:r w:rsidRPr="001A799D">
              <w:t>0.5017192034248933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0.49756901876692394</w:t>
            </w:r>
          </w:p>
        </w:tc>
        <w:tc>
          <w:tcPr>
            <w:tcW w:w="1870" w:type="dxa"/>
          </w:tcPr>
          <w:p w:rsidR="007656EE" w:rsidRDefault="006C22B6" w:rsidP="00FB3BEE">
            <w:r w:rsidRPr="006C22B6">
              <w:t>0.49756901876692394</w:t>
            </w:r>
          </w:p>
        </w:tc>
      </w:tr>
    </w:tbl>
    <w:p w:rsidR="007656EE" w:rsidRDefault="007656EE"/>
    <w:p w:rsidR="001A799D" w:rsidRDefault="001A799D" w:rsidP="001A799D"/>
    <w:p w:rsidR="001A799D" w:rsidRDefault="001A799D" w:rsidP="001A799D"/>
    <w:p w:rsidR="001A799D" w:rsidRDefault="001A799D" w:rsidP="001A799D"/>
    <w:p w:rsidR="001A799D" w:rsidRDefault="001A799D" w:rsidP="001A799D"/>
    <w:p w:rsidR="001A799D" w:rsidRDefault="001A799D" w:rsidP="001A799D"/>
    <w:p w:rsidR="001A799D" w:rsidRDefault="001A799D" w:rsidP="001A799D"/>
    <w:p w:rsidR="001A799D" w:rsidRDefault="001A799D" w:rsidP="001A799D"/>
    <w:p w:rsidR="001A799D" w:rsidRPr="001A799D" w:rsidRDefault="001A799D" w:rsidP="001A799D">
      <w:r>
        <w:lastRenderedPageBreak/>
        <w:t>Number of delays =6</w:t>
      </w:r>
      <w:r w:rsidRPr="001A799D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79"/>
        <w:gridCol w:w="2279"/>
        <w:gridCol w:w="2279"/>
      </w:tblGrid>
      <w:tr w:rsidR="001A799D" w:rsidRPr="001A799D" w:rsidTr="00FB3BEE"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Performance Measure</w:t>
            </w:r>
          </w:p>
        </w:tc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FIFO</w:t>
            </w:r>
          </w:p>
        </w:tc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SJF</w:t>
            </w:r>
          </w:p>
        </w:tc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LIFO</w:t>
            </w:r>
          </w:p>
        </w:tc>
      </w:tr>
      <w:tr w:rsidR="001A799D" w:rsidRPr="001A799D" w:rsidTr="00FB3BEE"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Average Delay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</w:p>
        </w:tc>
      </w:tr>
      <w:tr w:rsidR="001A799D" w:rsidRPr="001A799D" w:rsidTr="00FB3BEE"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Expected Number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of Customers in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the queue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>
              <w:t>0.0</w:t>
            </w:r>
            <w:bookmarkStart w:id="0" w:name="_GoBack"/>
            <w:bookmarkEnd w:id="0"/>
          </w:p>
        </w:tc>
      </w:tr>
      <w:tr w:rsidR="001A799D" w:rsidRPr="001A799D" w:rsidTr="00FB3BEE"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Expected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Utilization of the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server-1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0.585006266359333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0.585006266359333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0.585006266359333</w:t>
            </w:r>
          </w:p>
        </w:tc>
      </w:tr>
      <w:tr w:rsidR="001A799D" w:rsidRPr="001A799D" w:rsidTr="00FB3BEE">
        <w:tc>
          <w:tcPr>
            <w:tcW w:w="1870" w:type="dxa"/>
          </w:tcPr>
          <w:p w:rsidR="001A799D" w:rsidRPr="001A799D" w:rsidRDefault="001A799D" w:rsidP="001A799D">
            <w:pPr>
              <w:spacing w:after="160" w:line="259" w:lineRule="auto"/>
            </w:pPr>
            <w:r w:rsidRPr="001A799D">
              <w:t>Expected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Utilization of the</w:t>
            </w:r>
          </w:p>
          <w:p w:rsidR="001A799D" w:rsidRPr="001A799D" w:rsidRDefault="001A799D" w:rsidP="001A799D">
            <w:pPr>
              <w:spacing w:after="160" w:line="259" w:lineRule="auto"/>
            </w:pPr>
            <w:r w:rsidRPr="001A799D">
              <w:t>server-2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0.17859528369476313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0.17859528369476313</w:t>
            </w:r>
          </w:p>
        </w:tc>
        <w:tc>
          <w:tcPr>
            <w:tcW w:w="1870" w:type="dxa"/>
          </w:tcPr>
          <w:p w:rsidR="001A799D" w:rsidRPr="001A799D" w:rsidRDefault="006C22B6" w:rsidP="001A799D">
            <w:pPr>
              <w:spacing w:after="160" w:line="259" w:lineRule="auto"/>
            </w:pPr>
            <w:r w:rsidRPr="006C22B6">
              <w:t>0.17859528369476313</w:t>
            </w:r>
          </w:p>
        </w:tc>
      </w:tr>
    </w:tbl>
    <w:p w:rsidR="001A799D" w:rsidRDefault="001A799D"/>
    <w:sectPr w:rsidR="001A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C6"/>
    <w:rsid w:val="001A799D"/>
    <w:rsid w:val="006C22B6"/>
    <w:rsid w:val="007656EE"/>
    <w:rsid w:val="00A76D90"/>
    <w:rsid w:val="00B732C6"/>
    <w:rsid w:val="00C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D4A0-1925-4CA5-A22D-15850A5A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9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Dutchman</dc:creator>
  <cp:keywords/>
  <dc:description/>
  <cp:lastModifiedBy>Flying Dutchman</cp:lastModifiedBy>
  <cp:revision>2</cp:revision>
  <dcterms:created xsi:type="dcterms:W3CDTF">2021-01-10T19:42:00Z</dcterms:created>
  <dcterms:modified xsi:type="dcterms:W3CDTF">2021-01-10T20:22:00Z</dcterms:modified>
</cp:coreProperties>
</file>