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TO COMPLETE: Official team name]</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Domain 1 — Aiversecity Future-Ready Workforce</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SDG 8 — Decent Work and Economic Growth (proposed primary); SDG 4 — Quality Education (proposed secondary). [TEAM TO CONFIRM track]</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SKILLAX AI Platform</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TO COMPLETE: Team leader's full name]</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TO COMPLETE: Email] / [TEAM TO COMPLETE: Phone]</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TO CONFIRM: Institution(s) for all registered members]</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[TEAM TO COMPLETE: Number of registered members (Handbook limit: 1–5)]</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AI is changing job skills. WEF’s Future of Jobs 2025 (7 January 2025) estimates 39% of workers’ core skills will change by 2030. TalentCorp’s Malaysia study (18 November 2024) examined 949 roles in 10 sectors and projects 620,000 employees (18% of those sectors) may be affected. These are projections, not individual skills-gap data. Workers and career changers need clearer ways to compare skills with target roles and choose training. SKILLAX supports that planning; outcomes are unmeasured. Sources: weforum.org/publications/the-future-of-jobs-report-2025 ; talentcorp.com.my/impact-study.</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t>SKILLAX is a career exploration and reskilling prototype for workers, graduates and career changers, with a synthetic-cohort view for workforce planners. Users enter skills or try fictional CVs. Optional Gemini extraction converts CV text into a proposal for user review; an offline keyword fallback is available. Deterministic code compares profiles with ten roles, identifies gaps, models adoption scenarios and builds a four-phase roadmap. Gemini does not rank careers. Hugging Face, MIT News and Crossref provide research-publication activity, not vacancies; workforce examples are synthetic or imported. Workspace data use browser localStorage; no database is configured. Replit configuration exists, but public deployment is unverified. Phase 2 should test users and learning outcomes.</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p>
    <w:p w14:paraId="4DCFCB7A" w14:textId="77777777" w:rsidR="00CB46A4" w:rsidRDefault="00000000">
      <w:pPr>
        <w:pStyle w:val="Heading1"/>
        <w:pBdr>
          <w:bottom w:val="nil"/>
        </w:pBdr>
        <w:jc w:val="both"/>
        <w:rPr>
          <w:rFonts w:ascii="Times New Roman" w:eastAsia="Times New Roman" w:hAnsi="Times New Roman" w:cs="Times New Roman"/>
          <w:color w:val="000000"/>
        </w:rPr>
        <w:pageBreakBefore/>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t>Frontend: Next.js 14 App Router, React 18, TypeScript and Tailwind CSS. Backend: Next.js route handlers for CV analysis and research feeds. Gemini uses the official @google/genai SDK for optional CV extraction only; the configured default model is gemini-3.5-flash-lite. Deterministic scoring, skill gaps, scenarios and roadmaps run in TypeScript. Workspace state uses React context and browser localStorage; there is no database. Static catalogs and synthetic workforce observations are bundled in the app. The research route fetches Hugging Face and MIT AI News RSS feeds and Crossref scholarly metadata. Replit configuration exists, but hosting, a public URL and sponsor-provided resources are unverified. No official SDC API or cloud resource is confirmed. See the architecture description in the technical declaration.</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rPr>
                <w:rFonts w:ascii="Times New Roman" w:eastAsia="Times New Roman" w:hAnsi="Times New Roman" w:cs="Times New Roman"/>
              </w:rPr>
              <w:t xml:space="preserve">The implemented interface includes a profile editor, five-step assessment, synthetic sample profiles, score explanations, skill-gap views, scenario controls and user-managed roadmap milestones. CV extraction is staged for human review. Project records report domain tests and a prior build; these are software checks, not user research. No interviews, usability study, pilot or learning-outcome evaluation is evidenced. The prototype runs locally and includes Replit configuration, but public deployment and judge access are unverified. Next steps are team and mentor review, a defined user test with synthetic or consented data, deployment on a team-selected platform, and pre/post measurement of skill gaps before claiming impact.</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SDG 4.3 (access to technical/vocational learning), 4.4 (relevant skills for employment), 8.2 (productivity and innovation), and 8.5 (productive employment). SKILLAX supports career exploration and planning; it has no measured SDG contribution. UN: https://sdgs.un.org/goals/goal4 and https://sdgs.un.org/goals/goal8 (accessed 24 Oct 2026).</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TalentCorp’s Malaysia Impact Study examined 949 roles in 10 sectors and estimates about 620,000 employees (about 18% of the analysed-sector workforce) may be significantly affected. This projected exposure is not a measured SKILLAX-user skills gap. No user-cohort gap baseline exists. Source: https://www.talentcorp.com.my/impact-study/ (launched 18 Nov 2024).</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Mean role-specific skill-gap level per profile (0–5): sum positive differences between role-required and user-rated skill levels divided by number of listed role skills. Report cohort size and completion rate; self-ratings are not independent competency validation.</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Proposed, not achieved: target at least 20% reduction in the cohort mean skill-gap score after a six-week guided-roadmap pilot, using the same rubric before and after. Define the cohort and protocol; report attrition and use a comparison group if feasible. [TEAM TO APPROVE]</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r>
              <w:t xml:space="preserve">☐</w:t>
            </w: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r>
              <w:t xml:space="preserve">☐</w:t>
            </w: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r>
              <w:t xml:space="preserve">☐</w:t>
            </w: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r>
              <w:t xml:space="preserve">☐</w:t>
            </w: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 [TEAM TO CONFIRM: identify pre-existing work, owners and dates.]</w:t>
      </w:r>
      <w:r>
        <w:rPr>
          <w:rFonts w:ascii="Times New Roman" w:eastAsia="Times New Roman" w:hAnsi="Times New Roman" w:cs="Times New Roman"/>
          <w:sz w:val="24"/>
          <w:szCs w:val="24"/>
        </w:rPr>
        <w:t xml:space="preserve"/>
      </w:r>
      <w:r>
        <w:rPr>
          <w:rFonts w:ascii="Times New Roman" w:eastAsia="Times New Roman" w:hAnsi="Times New Roman" w:cs="Times New Roman"/>
          <w:sz w:val="30"/>
          <w:szCs w:val="30"/>
        </w:rPr>
        <w:t/>
      </w:r>
      <w:r>
        <w:rPr>
          <w:rFonts w:ascii="Times New Roman" w:eastAsia="Times New Roman" w:hAnsi="Times New Roman" w:cs="Times New Roman"/>
          <w:sz w:val="24"/>
          <w:szCs w:val="24"/>
        </w:rPr>
        <w:t xml:space="preserve"/>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identify pre-existing SKILLAX code/design/research, dates and owners: [TEAM TO COMPLETE]. </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r>
        <w:rPr>
          <w:rFonts w:ascii="Times New Roman" w:eastAsia="Times New Roman" w:hAnsi="Times New Roman" w:cs="Times New Roman"/>
          <w:sz w:val="24"/>
          <w:szCs w:val="24"/>
        </w:rPr>
        <w:t xml:space="preserve"/>
      </w:r>
      <w:r>
        <w:rPr>
          <w:rFonts w:ascii="Times New Roman" w:eastAsia="Times New Roman" w:hAnsi="Times New Roman" w:cs="Times New Roman"/>
          <w:sz w:val="30"/>
          <w:szCs w:val="30"/>
        </w:rPr>
        <w:t xml:space="preserve"/>
      </w:r>
      <w:r>
        <w:rPr>
          <w:rFonts w:ascii="Times New Roman" w:eastAsia="Times New Roman" w:hAnsi="Times New Roman" w:cs="Times New Roman"/>
          <w:sz w:val="24"/>
          <w:szCs w:val="24"/>
        </w:rPr>
        <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Next.js 14.2.35; React 18.3.1; Zod; Tailwind CSS</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 UI, validation and styling</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MIT</w:t>
            </w:r>
          </w:p>
        </w:tc>
      </w:tr>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@google/genai 2.31.0; Gemini</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CV extraction SDK and hosted 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Apache-2.0; Google API terms</w:t>
            </w:r>
          </w:p>
        </w:tc>
      </w:tr>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Synthetic profiles and workforce data</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Runtime demo inputs; not training data</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Project-authored; synthetic</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ageBreakBefore/>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 [TEAM TO CONFIRM: review each member’s employment, internship and consulting agreements.]</w:t>
      </w:r>
      <w:r>
        <w:rPr>
          <w:rFonts w:ascii="Times New Roman" w:eastAsia="Times New Roman" w:hAnsi="Times New Roman" w:cs="Times New Roman"/>
          <w:sz w:val="24"/>
          <w:szCs w:val="24"/>
        </w:rPr>
        <w:t xml:space="preserve"/>
      </w:r>
      <w:r>
        <w:rPr>
          <w:rFonts w:ascii="Times New Roman" w:eastAsia="Times New Roman" w:hAnsi="Times New Roman" w:cs="Times New Roman"/>
          <w:sz w:val="30"/>
          <w:szCs w:val="30"/>
        </w:rPr>
        <w:t/>
      </w:r>
      <w:r>
        <w:rPr>
          <w:rFonts w:ascii="Times New Roman" w:eastAsia="Times New Roman" w:hAnsi="Times New Roman" w:cs="Times New Roman"/>
          <w:sz w:val="24"/>
          <w:szCs w:val="24"/>
        </w:rPr>
        <w:t xml:space="preserve"/>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 TO SIGN]</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TO COMPLETE: Date of signing]</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