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7A218" w14:textId="1CED436F" w:rsidR="00672691" w:rsidRDefault="00672691" w:rsidP="00672691">
      <w:r>
        <w:t>Literature Review from Answerthis</w:t>
      </w:r>
    </w:p>
    <w:p w14:paraId="4BDA8B99" w14:textId="026B389D" w:rsidR="00672691" w:rsidRDefault="00672691" w:rsidP="00672691">
      <w:r>
        <w:t xml:space="preserve">I'll search for additional information to comprehensively address your question about agentic AI architectures for dealer engagement and performance monitoring in automotive </w:t>
      </w:r>
      <w:proofErr w:type="spellStart"/>
      <w:proofErr w:type="gramStart"/>
      <w:r>
        <w:t>operations.Let</w:t>
      </w:r>
      <w:proofErr w:type="spellEnd"/>
      <w:proofErr w:type="gramEnd"/>
      <w:r>
        <w:t xml:space="preserve"> me search for more specific information on dealer performance metrics and customer engagement </w:t>
      </w:r>
      <w:proofErr w:type="spellStart"/>
      <w:r>
        <w:t>systems.Based</w:t>
      </w:r>
      <w:proofErr w:type="spellEnd"/>
      <w:r>
        <w:t xml:space="preserve"> on the comprehensive research findings, I can now provide you with a detailed answer addressing your objectives for agentic AI architectures in automotive dealer engagement and performance monitoring.</w:t>
      </w:r>
    </w:p>
    <w:p w14:paraId="1A2A48D2" w14:textId="77777777" w:rsidR="00672691" w:rsidRDefault="00672691" w:rsidP="00672691">
      <w:r>
        <w:t>How Agentic AI Can Autonomously Optimize Dealer Engagement and Performance Monitoring</w:t>
      </w:r>
    </w:p>
    <w:p w14:paraId="63386AC4" w14:textId="77777777" w:rsidR="00672691" w:rsidRDefault="00672691" w:rsidP="00672691">
      <w:r>
        <w:t>Agentic AI represents a transformative paradigm shift in automotive operations management. Unlike traditional automation systems that execute pre-defined rules, agentic AI systems possess autonomous decision-making capabilities, adaptive learning mechanisms, and goal-directed behavior that enable them to optimize dealer engagement continuously [1]. These systems fundamentally reshape how automotive manufacturers interact with their dealer networks.</w:t>
      </w:r>
    </w:p>
    <w:p w14:paraId="0664D02D" w14:textId="77777777" w:rsidR="00672691" w:rsidRDefault="00672691" w:rsidP="00672691">
      <w:r>
        <w:t>1. Dynamic Dealer Scoring Model Development</w:t>
      </w:r>
    </w:p>
    <w:p w14:paraId="64930232" w14:textId="77777777" w:rsidR="00672691" w:rsidRDefault="00672691" w:rsidP="00672691">
      <w:r>
        <w:t>Multi-Dimensional Data Integration</w:t>
      </w:r>
    </w:p>
    <w:p w14:paraId="76C82CAD" w14:textId="77777777" w:rsidR="00672691" w:rsidRDefault="00672691" w:rsidP="00672691">
      <w:r>
        <w:t>Building an effective dealer scoring model requires integrating operational and behavioral data from diverse sources. Agentic AI systems can continuously collect and process data across multiple dimensions: sales performance, customer satisfaction metrics, service quality indicators, inventory management efficiency, compliance with manufacturer guidelines, and digital engagement metrics. The system dynamically processes this heterogeneous data through machine learning algorithms that refine scoring models in real-time [2].</w:t>
      </w:r>
    </w:p>
    <w:p w14:paraId="7866D3FE" w14:textId="77777777" w:rsidR="00672691" w:rsidRDefault="00672691" w:rsidP="00672691">
      <w:r>
        <w:t>The scoring architecture should incorporate ensemble approaches that combine supervised and unsupervised learning techniques. Similar to how autonomous agents in supply chain management use multi-agent reinforcement learning frameworks [3], dealer performance systems can employ collaborative scoring mechanisms where specialized agents evaluate specific performance dimensions and aggregate their assessments. This enables the system to identify complex micro-patterns in dealer behavior that would be invisible to static models.</w:t>
      </w:r>
    </w:p>
    <w:p w14:paraId="1BDFADE3" w14:textId="77777777" w:rsidR="00672691" w:rsidRDefault="00672691" w:rsidP="00672691">
      <w:r>
        <w:t>Behavioral Analytics Integration</w:t>
      </w:r>
    </w:p>
    <w:p w14:paraId="6F1EA59E" w14:textId="77777777" w:rsidR="00672691" w:rsidRDefault="00672691" w:rsidP="00672691">
      <w:r>
        <w:t>Effective dealer scoring extends beyond transactional metrics. Agentic AI systems track behavioral signals such as responsiveness to manufacturer communications, adoption of new products or services, participation in training programs, and collaboration patterns with other dealers. These behavioral dimensions provide early indicators of dealer health and potential issues [4]. The system learns which behavioral patterns correlate with sustained performance improvements, enabling predictive identification of dealers who require intervention or incentives.</w:t>
      </w:r>
    </w:p>
    <w:p w14:paraId="05C49B88" w14:textId="77777777" w:rsidR="00672691" w:rsidRDefault="00672691" w:rsidP="00672691">
      <w:r>
        <w:t>2. Autonomous Engagement Action Recommendation System</w:t>
      </w:r>
    </w:p>
    <w:p w14:paraId="628F7111" w14:textId="77777777" w:rsidR="00672691" w:rsidRDefault="00672691" w:rsidP="00672691">
      <w:r>
        <w:t>Intelligent Decision-Making Architecture</w:t>
      </w:r>
    </w:p>
    <w:p w14:paraId="33F19003" w14:textId="77777777" w:rsidR="00672691" w:rsidRDefault="00672691" w:rsidP="00672691">
      <w:r>
        <w:t xml:space="preserve">An agentic AI system for dealer engagement operates through specialized agent roles that reason about dealer situations and generate contextual recommendations. These agents employ a hierarchical control </w:t>
      </w:r>
      <w:r>
        <w:lastRenderedPageBreak/>
        <w:t>system that balances centralized strategic oversight with distributed decision-making, similar to frameworks used in complex IT operations [5]. The system contains agents specialized in different engagement domains: performance improvement coaching, market opportunity identification, competitive threat mitigation, and relationship strengthening.</w:t>
      </w:r>
    </w:p>
    <w:p w14:paraId="552EA013" w14:textId="77777777" w:rsidR="00672691" w:rsidRDefault="00672691" w:rsidP="00672691">
      <w:r>
        <w:t>The core decision-making process leverages reinforcement learning mechanisms. As engagement actions are recommended and executed, the system monitors their effectiveness through real-time feedback loops. The agents continuously refine their recommendation policies based on which engagement strategies produce measurable improvements in dealer performance metrics, compliance rates, or market share gains [2]. This creates a self-optimizing engagement ecosystem.</w:t>
      </w:r>
    </w:p>
    <w:p w14:paraId="78BFE2B3" w14:textId="77777777" w:rsidR="00672691" w:rsidRDefault="00672691" w:rsidP="00672691">
      <w:r>
        <w:t>Contextual Action Generation</w:t>
      </w:r>
    </w:p>
    <w:p w14:paraId="7468D925" w14:textId="77777777" w:rsidR="00672691" w:rsidRDefault="00672691" w:rsidP="00672691">
      <w:r>
        <w:t>Rather than recommending generic actions, agentic systems generate highly contextualized engagement recommendations. An agent analyzing a dealer with declining sales but strong service metrics might recommend targeted marketing co-investment or product portfolio diversification, while a dealer showing inventory management challenges receives supply chain optimization suggestions. The system reasoning incorporates the dealer's historical response patterns, competitive positioning, market conditions, and resource constraints [6].</w:t>
      </w:r>
    </w:p>
    <w:p w14:paraId="755F64D6" w14:textId="77777777" w:rsidR="00672691" w:rsidRDefault="00672691" w:rsidP="00672691">
      <w:r>
        <w:t>Engagement actions can range from automated content delivery and personalized incentive offers to escalated human engagement scenarios. The system intelligently routes complex situations requiring nuanced relationship management to appropriate manufacturer representatives while automating routine notifications and performance updates. This human-in-the-loop approach maintains accountability while dramatically increasing operational efficiency [1].</w:t>
      </w:r>
    </w:p>
    <w:p w14:paraId="67AC6472" w14:textId="77777777" w:rsidR="00672691" w:rsidRDefault="00672691" w:rsidP="00672691">
      <w:r>
        <w:t>3. System Accuracy, Efficiency, and Impact Evaluation</w:t>
      </w:r>
    </w:p>
    <w:p w14:paraId="5B96493F" w14:textId="77777777" w:rsidR="00672691" w:rsidRDefault="00672691" w:rsidP="00672691">
      <w:r>
        <w:t>Performance Metrics Framework</w:t>
      </w:r>
    </w:p>
    <w:p w14:paraId="2F84DBF1" w14:textId="77777777" w:rsidR="00672691" w:rsidRDefault="00672691" w:rsidP="00672691">
      <w:r>
        <w:t>Evaluating agentic AI systems requires measuring multiple dimensions of system effectiveness. Accuracy metrics assess whether the dealer scoring model correctly identifies high-performing, at-risk, and underperforming dealers. This can be validated against historical dealer outcomes and manufacturer assessment reviews. Similar evaluation frameworks from autonomous IT systems show that AI-driven decision systems can achieve 84-99% accuracy in identifying anomalies and performance changes when using ensemble machine learning approaches [7].</w:t>
      </w:r>
    </w:p>
    <w:p w14:paraId="16F66F2A" w14:textId="77777777" w:rsidR="00672691" w:rsidRDefault="00672691" w:rsidP="00672691">
      <w:r>
        <w:t>Efficiency metrics quantify operational improvements. Agentic AI systems can process dealer engagement at scales infeasible for human teams. Processing time reduction—from weeks of manual assessment to real-time automated evaluation—enables more responsive, timely interventions. Resource utilization improvements emerge as the system handles routine monitoring, freeing manufacturer personnel for strategic dealer relationship development. Studies of autonomous business operations demonstrate that agentic AI implementation typically reduces operational overhead by 30-40% while improving decision consistency [8].</w:t>
      </w:r>
    </w:p>
    <w:p w14:paraId="07136418" w14:textId="77777777" w:rsidR="00672691" w:rsidRDefault="00672691" w:rsidP="00672691">
      <w:r>
        <w:t>Impact on Dealer Management</w:t>
      </w:r>
    </w:p>
    <w:p w14:paraId="0DF3AB4A" w14:textId="77777777" w:rsidR="00672691" w:rsidRDefault="00672691" w:rsidP="00672691">
      <w:r>
        <w:t>Impact metrics directly measure business outcomes resulting from agentic AI implementation. These include:</w:t>
      </w:r>
    </w:p>
    <w:p w14:paraId="57FEDCB2" w14:textId="77777777" w:rsidR="00672691" w:rsidRDefault="00672691" w:rsidP="00672691"/>
    <w:p w14:paraId="676575F3" w14:textId="77777777" w:rsidR="00672691" w:rsidRDefault="00672691" w:rsidP="00672691">
      <w:r>
        <w:t>Dealer Performance Improvement: Measurable increases in key performance indicators (KPIs) for dealers receiving recommended engagement actions, compared to control groups</w:t>
      </w:r>
    </w:p>
    <w:p w14:paraId="3A6ACA96" w14:textId="77777777" w:rsidR="00672691" w:rsidRDefault="00672691" w:rsidP="00672691">
      <w:r>
        <w:t>Engagement Effectiveness: Improved response rates to manufacturer initiatives and higher adoption of recommended programs among dealers</w:t>
      </w:r>
    </w:p>
    <w:p w14:paraId="2DEAB822" w14:textId="77777777" w:rsidR="00672691" w:rsidRDefault="00672691" w:rsidP="00672691">
      <w:r>
        <w:t>Relationship Resilience: Reduced dealer churn and increased long-term partnership stability</w:t>
      </w:r>
    </w:p>
    <w:p w14:paraId="20A6A973" w14:textId="77777777" w:rsidR="00672691" w:rsidRDefault="00672691" w:rsidP="00672691">
      <w:r>
        <w:t>Decision Quality: Consistency and appropriateness of engagement recommendations validated through dealer feedback and business outcome reviews</w:t>
      </w:r>
    </w:p>
    <w:p w14:paraId="34BF63FD" w14:textId="77777777" w:rsidR="00672691" w:rsidRDefault="00672691" w:rsidP="00672691">
      <w:r>
        <w:t>Rapid Adaptation: System ability to identify market shifts and recommend timely engagement adjustments, measured through response latency</w:t>
      </w:r>
    </w:p>
    <w:p w14:paraId="2D6BB821" w14:textId="77777777" w:rsidR="00672691" w:rsidRDefault="00672691" w:rsidP="00672691"/>
    <w:p w14:paraId="18838DF3" w14:textId="77777777" w:rsidR="00672691" w:rsidRDefault="00672691" w:rsidP="00672691">
      <w:r>
        <w:t>The architectural framework supporting these metrics enables continuous learning. As engagement actions are executed, their outcomes feed back into the system, continuously refining both the dealer scoring models and the engagement recommendation policies [9]. This creates a virtuous cycle where each engagement cycle improves future recommendations.</w:t>
      </w:r>
    </w:p>
    <w:p w14:paraId="09E97374" w14:textId="77777777" w:rsidR="00672691" w:rsidRDefault="00672691" w:rsidP="00672691">
      <w:r>
        <w:t>4. Implementation Architecture Considerations</w:t>
      </w:r>
    </w:p>
    <w:p w14:paraId="5BFEEA40" w14:textId="77777777" w:rsidR="00672691" w:rsidRDefault="00672691" w:rsidP="00672691">
      <w:r>
        <w:t>Multi-Agent Orchestration</w:t>
      </w:r>
    </w:p>
    <w:p w14:paraId="5D6D9388" w14:textId="77777777" w:rsidR="00672691" w:rsidRDefault="00672691" w:rsidP="00672691">
      <w:r>
        <w:t>Effective agentic systems for dealer management employ multiple specialized agents coordinating through intelligent orchestration layers. These agents can autonomously pursue specific engagement objectives while maintaining alignment with manufacturer strategic priorities. A conflict-resolution mechanism addresses situations where different agents recommend divergent approaches for the same dealer, similar to frameworks used in complex multi-agent networks [10].</w:t>
      </w:r>
    </w:p>
    <w:p w14:paraId="4FC1B307" w14:textId="77777777" w:rsidR="00672691" w:rsidRDefault="00672691" w:rsidP="00672691">
      <w:r>
        <w:t>The system maintains real-time situational awareness through continuous monitoring of dealer metrics, market conditions, and engagement action effectiveness. This enables rapid adaptation when circumstances change—such as market disruptions, competitive threats, or unexpected dealer performance shifts. Unlike static engagement programs, agentic systems dynamically adjust strategies based on environmental changes and accumulated learning.</w:t>
      </w:r>
    </w:p>
    <w:p w14:paraId="54FDFF97" w14:textId="77777777" w:rsidR="00672691" w:rsidRDefault="00672691" w:rsidP="00672691">
      <w:r>
        <w:t>Integration with Existing Systems</w:t>
      </w:r>
    </w:p>
    <w:p w14:paraId="2F431AD9" w14:textId="77777777" w:rsidR="00672691" w:rsidRDefault="00672691" w:rsidP="00672691">
      <w:r>
        <w:t>Successful implementation requires seamless integration with existing manufacturer information systems. The agentic AI framework receives data from dealer management systems, sales platforms, compliance tracking systems, and customer feedback channels. It outputs recommendations through multiple channels: dashboards for human managers, automated communications to dealers, and orchestrated workflows triggering specific manufacturer actions [11].</w:t>
      </w:r>
    </w:p>
    <w:p w14:paraId="3C69CC40" w14:textId="77777777" w:rsidR="00672691" w:rsidRDefault="00672691" w:rsidP="00672691">
      <w:r>
        <w:t xml:space="preserve">Data governance becomes critical when agentic systems make autonomous decisions affecting business relationships. Comprehensive audit trails document which data informed specific recommendations, enabling accountability and supporting regulatory compliance. </w:t>
      </w:r>
      <w:proofErr w:type="spellStart"/>
      <w:r>
        <w:t>Explainability</w:t>
      </w:r>
      <w:proofErr w:type="spellEnd"/>
      <w:r>
        <w:t xml:space="preserve"> mechanisms help </w:t>
      </w:r>
      <w:r>
        <w:lastRenderedPageBreak/>
        <w:t>manufacturer managers understand the reasoning behind system recommendations, building trust and enabling human oversight where appropriate [12].</w:t>
      </w:r>
    </w:p>
    <w:p w14:paraId="41CD8FC9" w14:textId="77777777" w:rsidR="00672691" w:rsidRDefault="00672691" w:rsidP="00672691">
      <w:r>
        <w:t>Conclusion and Next Steps</w:t>
      </w:r>
    </w:p>
    <w:p w14:paraId="0611F860" w14:textId="77777777" w:rsidR="00672691" w:rsidRDefault="00672691" w:rsidP="00672691">
      <w:r>
        <w:t>Agentic AI architectures fundamentally transform automotive dealer engagement from reactive, human-driven processes into proactive, continuously optimizing autonomous systems. By combining sophisticated performance scoring, intelligent recommendation generation, and adaptive learning mechanisms, these systems deliver substantial improvements in dealer management efficiency and effectiveness.</w:t>
      </w:r>
    </w:p>
    <w:p w14:paraId="7A7232FE" w14:textId="77777777" w:rsidR="00672691" w:rsidRDefault="00672691" w:rsidP="00672691">
      <w:r>
        <w:t>Would you like me to dive deeper into any of these areas?</w:t>
      </w:r>
    </w:p>
    <w:p w14:paraId="0A1B3C5A" w14:textId="77777777" w:rsidR="00672691" w:rsidRDefault="00672691" w:rsidP="00672691"/>
    <w:p w14:paraId="51E708C2" w14:textId="77777777" w:rsidR="00672691" w:rsidRDefault="00672691" w:rsidP="00672691">
      <w:r>
        <w:t>Specific technical architectures for multi-agent dealer engagement systems?</w:t>
      </w:r>
    </w:p>
    <w:p w14:paraId="2747DFEE" w14:textId="77777777" w:rsidR="00672691" w:rsidRDefault="00672691" w:rsidP="00672691">
      <w:r>
        <w:t>Detailed methodologies for constructing the dynamic dealer scoring models?</w:t>
      </w:r>
    </w:p>
    <w:p w14:paraId="0B66850E" w14:textId="77777777" w:rsidR="00672691" w:rsidRDefault="00672691" w:rsidP="00672691">
      <w:r>
        <w:t>Implementation strategies for integrating agentic AI with existing manufacturer systems?</w:t>
      </w:r>
    </w:p>
    <w:p w14:paraId="107207C1" w14:textId="35515858" w:rsidR="004D5B8C" w:rsidRDefault="00672691" w:rsidP="00672691">
      <w:r>
        <w:t>Change management approaches for introducing autonomous dealer engagement systems?</w:t>
      </w:r>
    </w:p>
    <w:p w14:paraId="0CB6F719" w14:textId="6232265D" w:rsidR="00761231" w:rsidRDefault="00761231" w:rsidP="00672691"/>
    <w:p w14:paraId="34211A04" w14:textId="77777777" w:rsidR="00761231" w:rsidRPr="00761231" w:rsidRDefault="00761231" w:rsidP="00761231">
      <w:pPr>
        <w:spacing w:before="100" w:beforeAutospacing="1" w:after="100" w:afterAutospacing="1" w:line="240" w:lineRule="auto"/>
        <w:outlineLvl w:val="1"/>
        <w:rPr>
          <w:rFonts w:ascii="Times New Roman" w:eastAsia="Times New Roman" w:hAnsi="Times New Roman" w:cs="Times New Roman"/>
          <w:b/>
          <w:bCs/>
          <w:sz w:val="36"/>
          <w:szCs w:val="36"/>
        </w:rPr>
      </w:pPr>
      <w:r w:rsidRPr="00761231">
        <w:rPr>
          <w:rFonts w:ascii="Times New Roman" w:eastAsia="Times New Roman" w:hAnsi="Times New Roman" w:cs="Times New Roman"/>
          <w:b/>
          <w:bCs/>
          <w:sz w:val="36"/>
          <w:szCs w:val="36"/>
        </w:rPr>
        <w:t>1. Where the “Data Infrastructure Setup” section should go</w:t>
      </w:r>
    </w:p>
    <w:p w14:paraId="74EFE92F" w14:textId="77777777" w:rsidR="00761231" w:rsidRPr="00761231" w:rsidRDefault="00761231" w:rsidP="00761231">
      <w:p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Given your structure:</w:t>
      </w:r>
    </w:p>
    <w:p w14:paraId="32D1B932" w14:textId="77777777" w:rsidR="00761231" w:rsidRPr="00761231" w:rsidRDefault="00761231" w:rsidP="007612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Chapter 3: Research Design and Methodology</w:t>
      </w:r>
    </w:p>
    <w:p w14:paraId="32BA763A" w14:textId="77777777" w:rsidR="00761231" w:rsidRPr="00761231" w:rsidRDefault="00761231" w:rsidP="0076123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Chapter 4: Implementation and Analysis</w:t>
      </w:r>
    </w:p>
    <w:p w14:paraId="3656585A" w14:textId="77777777" w:rsidR="00761231" w:rsidRPr="00761231" w:rsidRDefault="00761231" w:rsidP="00761231">
      <w:p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I would do it like this:</w:t>
      </w:r>
    </w:p>
    <w:p w14:paraId="298840E6" w14:textId="77777777" w:rsidR="00761231" w:rsidRPr="00761231" w:rsidRDefault="00761231" w:rsidP="00761231">
      <w:pPr>
        <w:spacing w:before="100" w:beforeAutospacing="1" w:after="100" w:afterAutospacing="1" w:line="240" w:lineRule="auto"/>
        <w:outlineLvl w:val="2"/>
        <w:rPr>
          <w:rFonts w:ascii="Times New Roman" w:eastAsia="Times New Roman" w:hAnsi="Times New Roman" w:cs="Times New Roman"/>
          <w:b/>
          <w:bCs/>
          <w:sz w:val="27"/>
          <w:szCs w:val="27"/>
        </w:rPr>
      </w:pPr>
      <w:r w:rsidRPr="00761231">
        <w:rPr>
          <w:rFonts w:ascii="Times New Roman" w:eastAsia="Times New Roman" w:hAnsi="Times New Roman" w:cs="Times New Roman"/>
          <w:b/>
          <w:bCs/>
          <w:sz w:val="27"/>
          <w:szCs w:val="27"/>
        </w:rPr>
        <w:t xml:space="preserve">Chapter 3: brief, </w:t>
      </w:r>
      <w:proofErr w:type="gramStart"/>
      <w:r w:rsidRPr="00761231">
        <w:rPr>
          <w:rFonts w:ascii="Times New Roman" w:eastAsia="Times New Roman" w:hAnsi="Times New Roman" w:cs="Times New Roman"/>
          <w:b/>
          <w:bCs/>
          <w:sz w:val="27"/>
          <w:szCs w:val="27"/>
        </w:rPr>
        <w:t>high level</w:t>
      </w:r>
      <w:proofErr w:type="gramEnd"/>
      <w:r w:rsidRPr="00761231">
        <w:rPr>
          <w:rFonts w:ascii="Times New Roman" w:eastAsia="Times New Roman" w:hAnsi="Times New Roman" w:cs="Times New Roman"/>
          <w:b/>
          <w:bCs/>
          <w:sz w:val="27"/>
          <w:szCs w:val="27"/>
        </w:rPr>
        <w:t xml:space="preserve"> mention</w:t>
      </w:r>
    </w:p>
    <w:p w14:paraId="6B2E86FA" w14:textId="77777777" w:rsidR="00761231" w:rsidRPr="00761231" w:rsidRDefault="00761231" w:rsidP="00761231">
      <w:p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 xml:space="preserve">In Chapter 3 you keep things at the </w:t>
      </w:r>
      <w:r w:rsidRPr="00761231">
        <w:rPr>
          <w:rFonts w:ascii="Times New Roman" w:eastAsia="Times New Roman" w:hAnsi="Times New Roman" w:cs="Times New Roman"/>
          <w:b/>
          <w:bCs/>
          <w:sz w:val="24"/>
          <w:szCs w:val="24"/>
        </w:rPr>
        <w:t>design and methodology</w:t>
      </w:r>
      <w:r w:rsidRPr="00761231">
        <w:rPr>
          <w:rFonts w:ascii="Times New Roman" w:eastAsia="Times New Roman" w:hAnsi="Times New Roman" w:cs="Times New Roman"/>
          <w:sz w:val="24"/>
          <w:szCs w:val="24"/>
        </w:rPr>
        <w:t xml:space="preserve"> level. </w:t>
      </w:r>
      <w:proofErr w:type="gramStart"/>
      <w:r w:rsidRPr="00761231">
        <w:rPr>
          <w:rFonts w:ascii="Times New Roman" w:eastAsia="Times New Roman" w:hAnsi="Times New Roman" w:cs="Times New Roman"/>
          <w:sz w:val="24"/>
          <w:szCs w:val="24"/>
        </w:rPr>
        <w:t>So</w:t>
      </w:r>
      <w:proofErr w:type="gramEnd"/>
      <w:r w:rsidRPr="00761231">
        <w:rPr>
          <w:rFonts w:ascii="Times New Roman" w:eastAsia="Times New Roman" w:hAnsi="Times New Roman" w:cs="Times New Roman"/>
          <w:sz w:val="24"/>
          <w:szCs w:val="24"/>
        </w:rPr>
        <w:t xml:space="preserve"> you add a short subsection, for example:</w:t>
      </w:r>
    </w:p>
    <w:p w14:paraId="72FD1356" w14:textId="77777777" w:rsidR="00761231" w:rsidRPr="00761231" w:rsidRDefault="00761231" w:rsidP="007612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b/>
          <w:bCs/>
          <w:sz w:val="24"/>
          <w:szCs w:val="24"/>
        </w:rPr>
        <w:t>3.6 Data Management and Computational Environment</w:t>
      </w:r>
    </w:p>
    <w:p w14:paraId="71DBC772" w14:textId="77777777" w:rsidR="00761231" w:rsidRPr="00761231" w:rsidRDefault="00761231" w:rsidP="0076123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Briefly state that:</w:t>
      </w:r>
    </w:p>
    <w:p w14:paraId="177F4E56" w14:textId="77777777" w:rsidR="00761231" w:rsidRPr="00761231" w:rsidRDefault="00761231" w:rsidP="0076123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Data are stored in PostgreSQL as the primary relational database.</w:t>
      </w:r>
    </w:p>
    <w:p w14:paraId="09ECFEB4" w14:textId="77777777" w:rsidR="00761231" w:rsidRPr="00761231" w:rsidRDefault="00761231" w:rsidP="00761231">
      <w:pPr>
        <w:numPr>
          <w:ilvl w:val="2"/>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61231">
        <w:rPr>
          <w:rFonts w:ascii="Times New Roman" w:eastAsia="Times New Roman" w:hAnsi="Times New Roman" w:cs="Times New Roman"/>
          <w:sz w:val="24"/>
          <w:szCs w:val="24"/>
        </w:rPr>
        <w:t>DuckDB</w:t>
      </w:r>
      <w:proofErr w:type="spellEnd"/>
      <w:r w:rsidRPr="00761231">
        <w:rPr>
          <w:rFonts w:ascii="Times New Roman" w:eastAsia="Times New Roman" w:hAnsi="Times New Roman" w:cs="Times New Roman"/>
          <w:sz w:val="24"/>
          <w:szCs w:val="24"/>
        </w:rPr>
        <w:t xml:space="preserve"> is used as an embedded analytics engine for transformation and aggregation.</w:t>
      </w:r>
    </w:p>
    <w:p w14:paraId="63F4017A" w14:textId="77777777" w:rsidR="00761231" w:rsidRPr="00761231" w:rsidRDefault="00761231" w:rsidP="00761231">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 xml:space="preserve">Python (with </w:t>
      </w:r>
      <w:proofErr w:type="spellStart"/>
      <w:r w:rsidRPr="00761231">
        <w:rPr>
          <w:rFonts w:ascii="Times New Roman" w:eastAsia="Times New Roman" w:hAnsi="Times New Roman" w:cs="Times New Roman"/>
          <w:sz w:val="24"/>
          <w:szCs w:val="24"/>
        </w:rPr>
        <w:t>SQLAlchemy</w:t>
      </w:r>
      <w:proofErr w:type="spellEnd"/>
      <w:r w:rsidRPr="00761231">
        <w:rPr>
          <w:rFonts w:ascii="Times New Roman" w:eastAsia="Times New Roman" w:hAnsi="Times New Roman" w:cs="Times New Roman"/>
          <w:sz w:val="24"/>
          <w:szCs w:val="24"/>
        </w:rPr>
        <w:t xml:space="preserve"> and </w:t>
      </w:r>
      <w:proofErr w:type="spellStart"/>
      <w:r w:rsidRPr="00761231">
        <w:rPr>
          <w:rFonts w:ascii="Times New Roman" w:eastAsia="Times New Roman" w:hAnsi="Times New Roman" w:cs="Times New Roman"/>
          <w:sz w:val="24"/>
          <w:szCs w:val="24"/>
        </w:rPr>
        <w:t>DuckDB</w:t>
      </w:r>
      <w:proofErr w:type="spellEnd"/>
      <w:r w:rsidRPr="00761231">
        <w:rPr>
          <w:rFonts w:ascii="Times New Roman" w:eastAsia="Times New Roman" w:hAnsi="Times New Roman" w:cs="Times New Roman"/>
          <w:sz w:val="24"/>
          <w:szCs w:val="24"/>
        </w:rPr>
        <w:t>) is used to implement the ETL and analysis pipeline.</w:t>
      </w:r>
    </w:p>
    <w:p w14:paraId="22E9871B" w14:textId="77777777" w:rsidR="00761231" w:rsidRPr="00761231" w:rsidRDefault="00761231" w:rsidP="0076123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This links tools to your analytical design without going into code detail.</w:t>
      </w:r>
    </w:p>
    <w:p w14:paraId="73F0CBDB" w14:textId="77777777" w:rsidR="00761231" w:rsidRPr="00761231" w:rsidRDefault="00761231" w:rsidP="00761231">
      <w:p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 xml:space="preserve">This keeps Chapter 3 focused on </w:t>
      </w:r>
      <w:r w:rsidRPr="00761231">
        <w:rPr>
          <w:rFonts w:ascii="Times New Roman" w:eastAsia="Times New Roman" w:hAnsi="Times New Roman" w:cs="Times New Roman"/>
          <w:i/>
          <w:iCs/>
          <w:sz w:val="24"/>
          <w:szCs w:val="24"/>
        </w:rPr>
        <w:t>why</w:t>
      </w:r>
      <w:r w:rsidRPr="00761231">
        <w:rPr>
          <w:rFonts w:ascii="Times New Roman" w:eastAsia="Times New Roman" w:hAnsi="Times New Roman" w:cs="Times New Roman"/>
          <w:sz w:val="24"/>
          <w:szCs w:val="24"/>
        </w:rPr>
        <w:t xml:space="preserve"> and </w:t>
      </w:r>
      <w:r w:rsidRPr="00761231">
        <w:rPr>
          <w:rFonts w:ascii="Times New Roman" w:eastAsia="Times New Roman" w:hAnsi="Times New Roman" w:cs="Times New Roman"/>
          <w:i/>
          <w:iCs/>
          <w:sz w:val="24"/>
          <w:szCs w:val="24"/>
        </w:rPr>
        <w:t>what</w:t>
      </w:r>
      <w:r w:rsidRPr="00761231">
        <w:rPr>
          <w:rFonts w:ascii="Times New Roman" w:eastAsia="Times New Roman" w:hAnsi="Times New Roman" w:cs="Times New Roman"/>
          <w:sz w:val="24"/>
          <w:szCs w:val="24"/>
        </w:rPr>
        <w:t xml:space="preserve">, not </w:t>
      </w:r>
      <w:r w:rsidRPr="00761231">
        <w:rPr>
          <w:rFonts w:ascii="Times New Roman" w:eastAsia="Times New Roman" w:hAnsi="Times New Roman" w:cs="Times New Roman"/>
          <w:i/>
          <w:iCs/>
          <w:sz w:val="24"/>
          <w:szCs w:val="24"/>
        </w:rPr>
        <w:t>how exactly</w:t>
      </w:r>
      <w:r w:rsidRPr="00761231">
        <w:rPr>
          <w:rFonts w:ascii="Times New Roman" w:eastAsia="Times New Roman" w:hAnsi="Times New Roman" w:cs="Times New Roman"/>
          <w:sz w:val="24"/>
          <w:szCs w:val="24"/>
        </w:rPr>
        <w:t>.</w:t>
      </w:r>
    </w:p>
    <w:p w14:paraId="77C98179" w14:textId="77777777" w:rsidR="00761231" w:rsidRPr="00761231" w:rsidRDefault="00761231" w:rsidP="00761231">
      <w:pPr>
        <w:spacing w:before="100" w:beforeAutospacing="1" w:after="100" w:afterAutospacing="1" w:line="240" w:lineRule="auto"/>
        <w:outlineLvl w:val="2"/>
        <w:rPr>
          <w:rFonts w:ascii="Times New Roman" w:eastAsia="Times New Roman" w:hAnsi="Times New Roman" w:cs="Times New Roman"/>
          <w:b/>
          <w:bCs/>
          <w:sz w:val="27"/>
          <w:szCs w:val="27"/>
        </w:rPr>
      </w:pPr>
      <w:r w:rsidRPr="00761231">
        <w:rPr>
          <w:rFonts w:ascii="Times New Roman" w:eastAsia="Times New Roman" w:hAnsi="Times New Roman" w:cs="Times New Roman"/>
          <w:b/>
          <w:bCs/>
          <w:sz w:val="27"/>
          <w:szCs w:val="27"/>
        </w:rPr>
        <w:lastRenderedPageBreak/>
        <w:t>Chapter 4: full “Data Infrastructure Setup” section</w:t>
      </w:r>
    </w:p>
    <w:p w14:paraId="0878F4F9" w14:textId="77777777" w:rsidR="00761231" w:rsidRPr="00761231" w:rsidRDefault="00761231" w:rsidP="00761231">
      <w:p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 xml:space="preserve">The detailed text I wrote for you fits perfectly in </w:t>
      </w:r>
      <w:r w:rsidRPr="00761231">
        <w:rPr>
          <w:rFonts w:ascii="Times New Roman" w:eastAsia="Times New Roman" w:hAnsi="Times New Roman" w:cs="Times New Roman"/>
          <w:b/>
          <w:bCs/>
          <w:sz w:val="24"/>
          <w:szCs w:val="24"/>
        </w:rPr>
        <w:t>Chapter 4</w:t>
      </w:r>
      <w:r w:rsidRPr="00761231">
        <w:rPr>
          <w:rFonts w:ascii="Times New Roman" w:eastAsia="Times New Roman" w:hAnsi="Times New Roman" w:cs="Times New Roman"/>
          <w:sz w:val="24"/>
          <w:szCs w:val="24"/>
        </w:rPr>
        <w:t>, under Implementation, for example:</w:t>
      </w:r>
    </w:p>
    <w:p w14:paraId="235AAB3B" w14:textId="77777777" w:rsidR="00761231" w:rsidRPr="00761231" w:rsidRDefault="00761231" w:rsidP="0076123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b/>
          <w:bCs/>
          <w:sz w:val="24"/>
          <w:szCs w:val="24"/>
        </w:rPr>
        <w:t>Chapter 4: Implementation and Analysis</w:t>
      </w:r>
    </w:p>
    <w:p w14:paraId="6867C7CE" w14:textId="77777777" w:rsidR="00761231" w:rsidRPr="00761231" w:rsidRDefault="00761231" w:rsidP="0076123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4.1 Overview of Implementation</w:t>
      </w:r>
    </w:p>
    <w:p w14:paraId="70690DB6" w14:textId="77777777" w:rsidR="00761231" w:rsidRPr="00761231" w:rsidRDefault="00761231" w:rsidP="0076123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b/>
          <w:bCs/>
          <w:sz w:val="24"/>
          <w:szCs w:val="24"/>
        </w:rPr>
        <w:t>4.2 Data Infrastructure Setup</w:t>
      </w:r>
      <w:r w:rsidRPr="00761231">
        <w:rPr>
          <w:rFonts w:ascii="Times New Roman" w:eastAsia="Times New Roman" w:hAnsi="Times New Roman" w:cs="Times New Roman"/>
          <w:sz w:val="24"/>
          <w:szCs w:val="24"/>
        </w:rPr>
        <w:t xml:space="preserve"> ← put the detailed section here</w:t>
      </w:r>
    </w:p>
    <w:p w14:paraId="09400432" w14:textId="77777777" w:rsidR="00761231" w:rsidRPr="00761231" w:rsidRDefault="00761231" w:rsidP="0076123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4.3 Data Preprocessing and Feature Engineering</w:t>
      </w:r>
    </w:p>
    <w:p w14:paraId="77ED960D" w14:textId="77777777" w:rsidR="00761231" w:rsidRPr="00761231" w:rsidRDefault="00761231" w:rsidP="0076123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4.4 Model or Agent Design and Training</w:t>
      </w:r>
    </w:p>
    <w:p w14:paraId="70A27126" w14:textId="77777777" w:rsidR="00761231" w:rsidRPr="00761231" w:rsidRDefault="00761231" w:rsidP="0076123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4.5 Evaluation Procedures</w:t>
      </w:r>
    </w:p>
    <w:p w14:paraId="22DBA589" w14:textId="77777777" w:rsidR="00761231" w:rsidRPr="00761231" w:rsidRDefault="00761231" w:rsidP="00761231">
      <w:p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So:</w:t>
      </w:r>
    </w:p>
    <w:p w14:paraId="5F6A2D71" w14:textId="77777777" w:rsidR="00761231" w:rsidRPr="00761231" w:rsidRDefault="00761231" w:rsidP="007612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Chapter 3: short design explanation</w:t>
      </w:r>
    </w:p>
    <w:p w14:paraId="075E3C7E" w14:textId="77777777" w:rsidR="00761231" w:rsidRPr="00761231" w:rsidRDefault="00761231" w:rsidP="0076123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1231">
        <w:rPr>
          <w:rFonts w:ascii="Times New Roman" w:eastAsia="Times New Roman" w:hAnsi="Times New Roman" w:cs="Times New Roman"/>
          <w:sz w:val="24"/>
          <w:szCs w:val="24"/>
        </w:rPr>
        <w:t xml:space="preserve">Chapter 4: full technical story with PostgreSQL, </w:t>
      </w:r>
      <w:proofErr w:type="spellStart"/>
      <w:r w:rsidRPr="00761231">
        <w:rPr>
          <w:rFonts w:ascii="Times New Roman" w:eastAsia="Times New Roman" w:hAnsi="Times New Roman" w:cs="Times New Roman"/>
          <w:sz w:val="24"/>
          <w:szCs w:val="24"/>
        </w:rPr>
        <w:t>DuckDB</w:t>
      </w:r>
      <w:proofErr w:type="spellEnd"/>
      <w:r w:rsidRPr="00761231">
        <w:rPr>
          <w:rFonts w:ascii="Times New Roman" w:eastAsia="Times New Roman" w:hAnsi="Times New Roman" w:cs="Times New Roman"/>
          <w:sz w:val="24"/>
          <w:szCs w:val="24"/>
        </w:rPr>
        <w:t>, ETL, diagnostic script, etc.</w:t>
      </w:r>
    </w:p>
    <w:p w14:paraId="38F6A509" w14:textId="77777777" w:rsidR="00761231" w:rsidRDefault="00761231" w:rsidP="00672691"/>
    <w:sectPr w:rsidR="00761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919FC"/>
    <w:multiLevelType w:val="multilevel"/>
    <w:tmpl w:val="198A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372385"/>
    <w:multiLevelType w:val="multilevel"/>
    <w:tmpl w:val="ACFCC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551E75"/>
    <w:multiLevelType w:val="multilevel"/>
    <w:tmpl w:val="2CF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25B01"/>
    <w:multiLevelType w:val="multilevel"/>
    <w:tmpl w:val="1C6E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691"/>
    <w:rsid w:val="003B45C3"/>
    <w:rsid w:val="00672691"/>
    <w:rsid w:val="007148FD"/>
    <w:rsid w:val="00761231"/>
    <w:rsid w:val="00C7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7392E"/>
  <w15:chartTrackingRefBased/>
  <w15:docId w15:val="{B66B0B17-5745-49FA-9719-C574A2A16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12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12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12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12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612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1231"/>
    <w:rPr>
      <w:b/>
      <w:bCs/>
    </w:rPr>
  </w:style>
  <w:style w:type="character" w:styleId="Emphasis">
    <w:name w:val="Emphasis"/>
    <w:basedOn w:val="DefaultParagraphFont"/>
    <w:uiPriority w:val="20"/>
    <w:qFormat/>
    <w:rsid w:val="007612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328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54AAE-F4FA-4D08-947E-D43D5904D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1400</Words>
  <Characters>9971</Characters>
  <Application>Microsoft Office Word</Application>
  <DocSecurity>0</DocSecurity>
  <Lines>156</Lines>
  <Paragraphs>68</Paragraphs>
  <ScaleCrop>false</ScaleCrop>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Adobea Essien</dc:creator>
  <cp:keywords/>
  <dc:description/>
  <cp:lastModifiedBy>Adobea Essien</cp:lastModifiedBy>
  <cp:revision>2</cp:revision>
  <dcterms:created xsi:type="dcterms:W3CDTF">2025-11-10T17:10:00Z</dcterms:created>
  <dcterms:modified xsi:type="dcterms:W3CDTF">2025-11-23T09:27:00Z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ffea0e90-b537-417e-9984-7fa920ffad23</vt:lpwstr>
  </property>
</Properties>
</file>