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124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Style w:val="a4"/>
        <w:tblW w:w="9929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8"/>
        <w:gridCol w:w="8561"/>
      </w:tblGrid>
      <w:tr w:rsidR="00B8334A" w:rsidRPr="00527F6F" w14:paraId="3746A2D2" w14:textId="77777777" w:rsidTr="0088711F">
        <w:trPr>
          <w:cantSplit/>
        </w:trPr>
        <w:tc>
          <w:tcPr>
            <w:tcW w:w="1368" w:type="dxa"/>
          </w:tcPr>
          <w:p w14:paraId="45C37EE0" w14:textId="77777777" w:rsidR="00B8334A" w:rsidRPr="00527F6F" w:rsidRDefault="00B8334A" w:rsidP="00290638">
            <w:pPr>
              <w:keepNext/>
              <w:tabs>
                <w:tab w:val="left" w:pos="1080"/>
                <w:tab w:val="left" w:pos="1276"/>
              </w:tabs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sz w:val="24"/>
                <w:szCs w:val="24"/>
              </w:rPr>
              <w:t>KEPADA</w:t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ab/>
              <w:t>:</w:t>
            </w:r>
          </w:p>
        </w:tc>
        <w:tc>
          <w:tcPr>
            <w:tcW w:w="8561" w:type="dxa"/>
          </w:tcPr>
          <w:p>
            <w:r>
              <w:rPr>
                <w:rFonts w:ascii="Arial" w:hAnsi="Arial" w:eastAsia="Arial" w:cs="Arial"/>
                <w:sz w:val="2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440" w:type="dxa"/>
      </w:tblPr>
      <w:tblGrid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ALI AFANDI, S.Pd., M.T.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Tk. I (IV/b)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197403252000031003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Bidang Pemasaran dan Kelembagaan Parekraf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LUKY NURAINI ROSYIDAH, S.STP., M.AP.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198609152006022001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3.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CHANDRA NURHIDAYAT., S.Hub.,Int.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198810202014031004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4.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SARI WASANANING A.P, S.S.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198401182014032001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5.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YEKTI LESTARI, S.St.Par.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197712242006042021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6.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ISMADI, SE., MM.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197304201995031004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Penelaah Teknis Kebijakan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7.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IBNU PURWANTAMA S.Par.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199503142020121015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Pengolah Data dan Informasi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8.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YEREMIA PURBOWIDODO SANTOSO, S.E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199002042025041003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Fasilitator Pemerintahan - Keuangan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9.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ARI DEVINTA PURWATI, S.Tr.M.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(III/a)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199701032025042004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10.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WISNU ADY SEPTIAN, S.IP.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199309252024211018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Pranata Hubungan Masyarakat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HARIYANTO S.E.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197805022024211004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ANNEKE CHITRA GHIANTI, S.M.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-/IX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199701012024212003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Analis Perdagangan Ahli Pertama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Banyuwangi dalam rangka peliputan dan pembuatan konten promosi pariwisata selama 4 (empat) hari pada tanggal 20-23 Juli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135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135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13 Juli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>
              <w:rPr>
                <w:rFonts w:ascii="Arial" w:hAnsi="Arial" w:eastAsia="Arial" w:cs="Arial"/>
                <w:sz w:val="24"/>
              </w:rPr>
              <w:drawing>
                <wp:anchor distT="0" distB="0" distL="0" distR="0" simplePos="0" relativeHeight="251826177" behindDoc="0" locked="0" layoutInCell="1" allowOverlap="1">
                  <wp:simplePos x="0" y="0"/>
                  <wp:positionH relativeFrom="column">
                    <wp:posOffset>61752</wp:posOffset>
                  </wp:positionH>
                  <wp:positionV relativeFrom="paragraph">
                    <wp:posOffset>500000</wp:posOffset>
                  </wp:positionV>
                  <wp:extent cx="1554480" cy="1039199"/>
                  <wp:effectExtent l="0" t="0" r="0" b="0"/>
                  <wp:wrapNone/>
                  <wp:docPr id="1716927323" name="Tanda Tangan Kepala Dinas"/>
                  <wp:cNvGraphicFramePr/>
                  <a:graphic xmlns:a="http://schemas.openxmlformats.org/drawingml/2006/main" xmlns:pic="http://schemas.openxmlformats.org/drawingml/2006/picture">
                    <a:graphicData uri="http://schemas.openxmlformats.org/drawingml/2006/picture">
                      <pic:pic>
                        <pic:nvPicPr>
                          <pic:cNvPr id="0" name="TTD_Bu_Kadis_trimm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039199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