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 w:before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124 / 118.4 / 2026</w:t>
      </w:r>
    </w:p>
    <w:p>
      <w:pPr>
        <w:tabs>
          <w:tab w:val="left" w:pos="1080"/>
          <w:tab w:val="left" w:pos="1350"/>
        </w:tabs>
        <w:spacing w:before="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 w14:paraId="61BDB487" w14:textId="58B36248" w:rsidR="00B8334A" w:rsidRPr="00527F6F" w:rsidRDefault="00B8334A" w:rsidP="00B8334A">
      <w:pPr>
        <w:spacing w:before="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KEPADA :</w:t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5.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6.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ISMADI, SE., MM.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197304201995031004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7.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IBNU PURWANTAMA S.Par.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199503142020121015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Pengolah Data dan Informasi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8.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YEREMIA PURBOWIDODO SANTOSO, S.E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199002042025041003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Fasilitator Pemerintahan - Keuangan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9.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ARI DEVINTA PURWATI, S.Tr.M.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199701032025042004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10.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HARIYANTO S.E.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197805022024211004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</w:r>
          </w:p>
        </w:tc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ANNEKE CHITRA GHIANTI, S.M.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199701012024212003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Analis Perdagangan Ahli Pertama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spacing w:before="0" w:after="0" w:line="240" w:lineRule="auto"/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Banyuwangi dalam rangka peliputan dan pembuatan konten promosi pariwisata selama 4 (empat) hari pada tanggal 20-23 Juli 2026.</w:t>
      </w:r>
    </w:p>
    <w:tbl>
      <w:tblPr>
        <w:tblStyle w:val="TableGrid"/>
        <w:tblW w:w="0" w:type="auto"/>
        <w:tblInd w:w="127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  <w:cantSplit/>
        </w:trPr>
        <w:tc>
          <w:tcPr>
            <w:tcW w:w="5112" w:type="dx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</w:tc>
        <w:tc>
          <w:tcPr>
            <w:tcW w:w="4536" w:type="dx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Ditetapkan di Surabaya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pada tanggal 13 Juli 2026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DINAS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KEBUDAYAAN DAN PARIWISATA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PROVINSI JAWA TIMUR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4"/>
                <w:u w:val="single"/>
              </w:rPr>
              <w:t>Evy Afianasari, S.T., M.M.A.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Utama Muda (IV/c)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 w:before="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