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${nomor}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DASAR</w:t>
        <w:tab/>
        <w:t>:</w:t>
        <w:tab/>
        <w:t>1.</w:t>
        <w:tab/>
        <w:t>Peraturan Daerah Provinsi Jawa Timur Nomor 6 Tahun 2025 Tanggal 31 Desember 2025 tentang Anggaran Pendapatan dan Belanja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2.</w:t>
        <w:tab/>
        <w:t>Peraturan Gubernur Jawa Timur Nomor 41 Tahun 2025 Tanggal 31 Desember 2025 tentang Penjabaran Perubahan Anggaran Pendapatan dan Belanja Daerah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3.</w:t>
        <w:tab/>
        <w:t>Dokumen Pelaksanaan Anggaran (DPA) Nomor: DPA/A.1/2.22.3.26.0.00.03.0000/001/2026 Tanggal 1 Januari 2026.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4.</w:t>
        <w:tab/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rPr>
          <w:cantSplit/>
        </w:trPr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keepNext/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sz w:val="24"/>
                <w:szCs w:val="24"/>
              </w:rPr>
              <w:t>KEPADA</w:t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>
            <w:r>
              <w:rPr>
                <w:rFonts w:ascii="Arial" w:hAnsi="Arial" w:eastAsia="Arial" w:cs="Arial"/>
                <w:sz w:val="2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440" w:type="dxa"/>
      </w:tblPr>
      <w:tblGrid>
        <w:gridCol w:w="547"/>
        <w:gridCol w:w="1728"/>
        <w:gridCol w:w="317"/>
        <w:gridCol w:w="5587"/>
      </w:tblGrid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ALI AFANDI, S.Pd., M.T.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Pembina Tk. I (IV/b)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197403252000031003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Kepala Bidang Pemasaran dan Kelembagaan Parekraf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LUKY NURAINI ROSYIDAH, S.STP., M.AP.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198609152006022001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Muda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3.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CHANDRA NURHIDAYAT., S.Hub.,Int.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(III/c)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198810202014031004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Muda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4.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SARI WASANANING A.P, S.S.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Tk. I (III/b)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198401182014032001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5.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YEKTI LESTARI, S.St.Par.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197712242006042021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Penelaah Teknis Kebijakan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6.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ISMADI, SE., MM.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(III/c)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197304201995031004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Penelaah Teknis Kebijakan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7.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IBNU PURWANTAMA S.Par.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Tk. I (III/b)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199503142020121015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Pengolah Data dan Informasi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8.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YEREMIA PURBOWIDODO SANTOSO, S.E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(III/a)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199002042025041003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Fasilitator Pemerintahan - Keuangan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9.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ARI DEVINTA PURWATI, S.Tr.M.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(III/a)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199701032025042004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10.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WISNU ADY SEPTIAN, S.IP.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199309252024211018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Pranata Hubungan Masyarakat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HARIYANTO S.E.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197805022024211004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ANNEKE CHITRA GHIANTI, S.M.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199701012024212003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Analis Perdagangan Ahli Pertama</w:t>
            </w: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UNTUK</w:t>
        <w:tab/>
        <w:t>:</w:t>
        <w:tab/>
        <w:t>Perjalanan Dinas ke Kabupaten Banyuwangi dalam rangka peliputan dan pembuatan konten promosi pariwisata selama 4 (empat) hari pada tanggal 20-23 Juli 2026.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  <w:cantSplit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Ditetapkan di Surabaya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pada tanggal 13 Juli 2026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KEPALA DINAS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KEBUDAYAAN DAN PARIWISATA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PROVINSI JAWA TIMUR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${qrcode}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/>
                <w:sz w:val="24"/>
              </w:rPr>
              <w:t>${PEJABAT}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${pangkat}</w:t>
            </w:r>
          </w:p>
          <w:p>
            <w:pPr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NIP. ${nip}</w:t>
            </w: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footerReference w:type="default" r:id="rId10"/>
      <w:pgSz w:w="11907" w:h="16839" w:code="9"/>
      <w:pgMar w:top="851" w:right="1140" w:bottom="936" w:left="1140" w:header="709" w:footer="17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jc w:val="center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512"/>
      <w:gridCol w:w="8107"/>
    </w:tblGrid>
    <w:tr>
      <w:tc>
        <w:tcPr>
          <w:tcW w:type="dxa" w:w="1512"/>
          <w:vAlign w:val="center"/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868680" cy="3089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age001_img00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3089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  <w:vAlign w:val="center"/>
        </w:tcPr>
        <w:p>
          <w:pPr>
            <w:spacing w:before="0" w:after="0" w:line="240" w:lineRule="auto"/>
            <w:jc w:val="both"/>
          </w:pPr>
          <w:r>
            <w:rPr>
              <w:rFonts w:ascii="Arial" w:hAnsi="Arial" w:eastAsia="Arial" w:cs="Arial"/>
              <w:sz w:val="13"/>
            </w:rPr>
            <w:t>Sesuai dengan ketentuan perundang-undangan yang berlaku, surat ini telah ditandatangani secara elektronik menggunakan sertifikat elektronik yang diterbitkan oleh Balai Besar Sertifikasi Elektronik Badan Siber dan Sandi Negara (BSrE-BSSN). Legalitas berkas secara digital diatur oleh Dinas Komunikasi dan Informatika Provinsi Jawa Timur. Untuk mengetahui keabsahan berkas dapat dilakukan dengan memindai qrcode yang tersedia.</w:t>
          </w:r>
        </w:p>
      </w:tc>
    </w:tr>
  </w:tbl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