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00"/>
          <w:sz w:val="56"/>
        </w:rPr>
        <w:t>Aurufie</w:t>
      </w:r>
    </w:p>
    <w:p>
      <w:pPr>
        <w:jc w:val="center"/>
      </w:pPr>
      <w:r>
        <w:rPr>
          <w:color w:val="505050"/>
          <w:sz w:val="28"/>
        </w:rPr>
        <w:t>Educator Guide &amp; Content Standards</w:t>
      </w:r>
    </w:p>
    <w:p>
      <w:pPr>
        <w:jc w:val="center"/>
      </w:pPr>
      <w:r>
        <w:rPr>
          <w:i/>
          <w:color w:val="787878"/>
          <w:sz w:val="22"/>
        </w:rPr>
        <w:t>Version 1.0</w:t>
      </w:r>
    </w:p>
    <w:p>
      <w:r>
        <w:br w:type="page"/>
      </w:r>
    </w:p>
    <w:p>
      <w:pPr>
        <w:pStyle w:val="Title"/>
        <w:jc w:val="left"/>
      </w:pPr>
      <w:r>
        <w:rPr>
          <w:color w:val="000000"/>
          <w:sz w:val="48"/>
        </w:rPr>
        <w:t>Part One — Educator Guide</w:t>
      </w:r>
    </w:p>
    <w:p/>
    <w:p>
      <w:r>
        <w:rPr>
          <w:i/>
          <w:color w:val="646464"/>
          <w:sz w:val="20"/>
        </w:rPr>
        <w:t>This guide is for anyone contributing to Aurufie as an educator, course builder, content creator, or classroom manager. It explains what educators do, how the platform works, and what is expected of those who build and publish content.</w:t>
      </w:r>
    </w:p>
    <w:p/>
    <w:p>
      <w:pPr>
        <w:pStyle w:val="Heading1"/>
        <w:jc w:val="left"/>
      </w:pPr>
      <w:r>
        <w:rPr>
          <w:color w:val="000000"/>
          <w:sz w:val="32"/>
        </w:rPr>
        <w:t>Who This Guide Is For</w:t>
      </w:r>
    </w:p>
    <w:p>
      <w:r>
        <w:rPr>
          <w:b w:val="0"/>
          <w:i w:val="0"/>
          <w:sz w:val="22"/>
        </w:rPr>
        <w:t>This guide is written for:</w:t>
      </w:r>
    </w:p>
    <w:p>
      <w:pPr>
        <w:pStyle w:val="ListBullet"/>
      </w:pPr>
      <w:r>
        <w:rPr>
          <w:sz w:val="22"/>
        </w:rPr>
        <w:t>Language teachers and tutors bringing structured instruction to the platform</w:t>
      </w:r>
    </w:p>
    <w:p>
      <w:pPr>
        <w:pStyle w:val="ListBullet"/>
      </w:pPr>
      <w:r>
        <w:rPr>
          <w:sz w:val="22"/>
        </w:rPr>
        <w:t>Native speakers with cultural and linguistic knowledge to document and share</w:t>
      </w:r>
    </w:p>
    <w:p>
      <w:pPr>
        <w:pStyle w:val="ListBullet"/>
      </w:pPr>
      <w:r>
        <w:rPr>
          <w:sz w:val="22"/>
        </w:rPr>
        <w:t>Community educators and cultural practitioners working to preserve heritage languages</w:t>
      </w:r>
    </w:p>
    <w:p>
      <w:pPr>
        <w:pStyle w:val="ListBullet"/>
      </w:pPr>
      <w:r>
        <w:rPr>
          <w:sz w:val="22"/>
        </w:rPr>
        <w:t>Content creators and researchers contributing lessons, stories, or cultural materials</w:t>
      </w:r>
    </w:p>
    <w:p>
      <w:pPr>
        <w:pStyle w:val="ListBullet"/>
      </w:pPr>
      <w:r>
        <w:rPr>
          <w:sz w:val="22"/>
        </w:rPr>
        <w:t>Diaspora educators reconnecting communities with ancestral languages</w:t>
      </w:r>
    </w:p>
    <w:p>
      <w:pPr>
        <w:pStyle w:val="ListBullet"/>
      </w:pPr>
      <w:r>
        <w:rPr>
          <w:sz w:val="22"/>
        </w:rPr>
        <w:t>YouTube creators and independent educators expanding into structured learning</w:t>
      </w:r>
    </w:p>
    <w:p>
      <w:r>
        <w:rPr>
          <w:b w:val="0"/>
          <w:i w:val="0"/>
          <w:sz w:val="22"/>
        </w:rPr>
        <w:t>You do not need formal academic credentials to become an educator on Aurufie. What you need is knowledge, reliability, and a commitment to accuracy.</w:t>
      </w:r>
    </w:p>
    <w:p>
      <w:pPr>
        <w:pStyle w:val="Heading1"/>
        <w:jc w:val="left"/>
      </w:pPr>
      <w:r>
        <w:rPr>
          <w:color w:val="000000"/>
          <w:sz w:val="32"/>
        </w:rPr>
        <w:t>The Educator Role</w:t>
      </w:r>
    </w:p>
    <w:p>
      <w:r>
        <w:rPr>
          <w:b w:val="0"/>
          <w:i w:val="0"/>
          <w:sz w:val="22"/>
        </w:rPr>
        <w:t>Educators are the foundation of Aurufie. The platform provides infrastructure — the audio player, quiz engine, dictionary system, classroom tools, and community feed. Educators provide the substance: the lessons, the stories, the cultural context, the vocabulary, and the recordings that make a language course come alive.</w:t>
      </w:r>
    </w:p>
    <w:p>
      <w:r>
        <w:rPr>
          <w:b w:val="0"/>
          <w:i w:val="0"/>
          <w:sz w:val="22"/>
        </w:rPr>
        <w:t>There are three primary ways educators participate:</w:t>
      </w:r>
    </w:p>
    <w:p/>
    <w:p>
      <w:pPr>
        <w:pStyle w:val="Heading2"/>
        <w:jc w:val="left"/>
      </w:pPr>
      <w:r>
        <w:rPr>
          <w:color w:val="000000"/>
          <w:sz w:val="26"/>
        </w:rPr>
        <w:t>1. Content Creation via the CMS</w:t>
      </w:r>
    </w:p>
    <w:p>
      <w:r>
        <w:rPr>
          <w:b w:val="0"/>
          <w:i w:val="0"/>
          <w:sz w:val="22"/>
        </w:rPr>
        <w:t>Educators with platform access build and publish directly through the Educator CMS Panel — a dedicated interface separate from the learner experience. From here, educators can create and manage:</w:t>
      </w:r>
    </w:p>
    <w:p>
      <w:pPr>
        <w:pStyle w:val="ListBullet"/>
      </w:pPr>
      <w:r>
        <w:rPr>
          <w:sz w:val="22"/>
        </w:rPr>
        <w:t>Courses — top-level curriculum structures organizing a language into levels and themes</w:t>
      </w:r>
    </w:p>
    <w:p>
      <w:pPr>
        <w:pStyle w:val="ListBullet"/>
      </w:pPr>
      <w:r>
        <w:rPr>
          <w:sz w:val="22"/>
        </w:rPr>
        <w:t>Lessons — individual learning units with audio, transcripts, vocabulary, and cultural notes</w:t>
      </w:r>
    </w:p>
    <w:p>
      <w:pPr>
        <w:pStyle w:val="ListBullet"/>
      </w:pPr>
      <w:r>
        <w:rPr>
          <w:sz w:val="22"/>
        </w:rPr>
        <w:t>Story modules — narrative-driven chapter sequences for immersive, contextual learning</w:t>
      </w:r>
    </w:p>
    <w:p>
      <w:pPr>
        <w:pStyle w:val="ListBullet"/>
      </w:pPr>
      <w:r>
        <w:rPr>
          <w:sz w:val="22"/>
        </w:rPr>
        <w:t>Dictionary entries — words, definitions, example sentences, and audio pronunciation</w:t>
      </w:r>
    </w:p>
    <w:p>
      <w:pPr>
        <w:pStyle w:val="ListBullet"/>
      </w:pPr>
      <w:r>
        <w:rPr>
          <w:sz w:val="22"/>
        </w:rPr>
        <w:t>Cultural content — entries across eight categories</w:t>
      </w:r>
    </w:p>
    <w:p>
      <w:r>
        <w:rPr>
          <w:b w:val="0"/>
          <w:i w:val="0"/>
          <w:sz w:val="22"/>
        </w:rPr>
        <w:t>All content created through the CMS undergoes review before publication.</w:t>
      </w:r>
    </w:p>
    <w:p>
      <w:pPr>
        <w:pStyle w:val="Heading2"/>
        <w:jc w:val="left"/>
      </w:pPr>
      <w:r>
        <w:rPr>
          <w:color w:val="000000"/>
          <w:sz w:val="26"/>
        </w:rPr>
        <w:t>2. Community Contribution</w:t>
      </w:r>
    </w:p>
    <w:p>
      <w:r>
        <w:rPr>
          <w:b w:val="0"/>
          <w:i w:val="0"/>
          <w:sz w:val="22"/>
        </w:rPr>
        <w:t>Educators who prefer to contribute outside the CMS — or who are not yet credentialed — can submit content through the community contribution system:</w:t>
      </w:r>
    </w:p>
    <w:p>
      <w:pPr>
        <w:pStyle w:val="ListBullet"/>
      </w:pPr>
      <w:r>
        <w:rPr>
          <w:sz w:val="22"/>
        </w:rPr>
        <w:t>Submit words, phrases, audio recordings, or lesson content individually</w:t>
      </w:r>
    </w:p>
    <w:p>
      <w:pPr>
        <w:pStyle w:val="ListBullet"/>
      </w:pPr>
      <w:r>
        <w:rPr>
          <w:sz w:val="22"/>
        </w:rPr>
        <w:t>Track submissions through the review pipeline</w:t>
      </w:r>
    </w:p>
    <w:p>
      <w:pPr>
        <w:pStyle w:val="ListBullet"/>
      </w:pPr>
      <w:r>
        <w:rPr>
          <w:sz w:val="22"/>
        </w:rPr>
        <w:t>Receive attribution on all accepted contributions</w:t>
      </w:r>
    </w:p>
    <w:p>
      <w:pPr>
        <w:pStyle w:val="ListBullet"/>
      </w:pPr>
      <w:r>
        <w:rPr>
          <w:sz w:val="22"/>
        </w:rPr>
        <w:t>Claim bounties — open tasks offering XP rewards for specific content gaps</w:t>
      </w:r>
    </w:p>
    <w:p>
      <w:r>
        <w:rPr>
          <w:b w:val="0"/>
          <w:i w:val="0"/>
          <w:sz w:val="22"/>
        </w:rPr>
        <w:t>Experienced contributors may apply to become reviewers, gaining the ability to assess and approve submissions from others.</w:t>
      </w:r>
    </w:p>
    <w:p>
      <w:pPr>
        <w:pStyle w:val="Heading2"/>
        <w:jc w:val="left"/>
      </w:pPr>
      <w:r>
        <w:rPr>
          <w:color w:val="000000"/>
          <w:sz w:val="26"/>
        </w:rPr>
        <w:t>3. Classroom Management</w:t>
      </w:r>
    </w:p>
    <w:p>
      <w:r>
        <w:rPr>
          <w:b w:val="0"/>
          <w:i w:val="0"/>
          <w:sz w:val="22"/>
        </w:rPr>
        <w:t>Educators working with structured groups can use Aurufie's classroom tools to organize and track learners:</w:t>
      </w:r>
    </w:p>
    <w:p>
      <w:pPr>
        <w:pStyle w:val="ListBullet"/>
      </w:pPr>
      <w:r>
        <w:rPr>
          <w:sz w:val="22"/>
        </w:rPr>
        <w:t>Create and manage learning groups</w:t>
      </w:r>
    </w:p>
    <w:p>
      <w:pPr>
        <w:pStyle w:val="ListBullet"/>
      </w:pPr>
      <w:r>
        <w:rPr>
          <w:sz w:val="22"/>
        </w:rPr>
        <w:t>Assign specific lessons with due dates</w:t>
      </w:r>
    </w:p>
    <w:p>
      <w:pPr>
        <w:pStyle w:val="ListBullet"/>
      </w:pPr>
      <w:r>
        <w:rPr>
          <w:sz w:val="22"/>
        </w:rPr>
        <w:t>Monitor student progress, streaks, and quiz accuracy</w:t>
      </w:r>
    </w:p>
    <w:p>
      <w:pPr>
        <w:pStyle w:val="ListBullet"/>
      </w:pPr>
      <w:r>
        <w:rPr>
          <w:sz w:val="22"/>
        </w:rPr>
        <w:t>Manage roles within a group: teacher, parent, student</w:t>
      </w:r>
    </w:p>
    <w:p>
      <w:pPr>
        <w:pStyle w:val="Heading1"/>
        <w:jc w:val="left"/>
      </w:pPr>
      <w:r>
        <w:rPr>
          <w:color w:val="000000"/>
          <w:sz w:val="32"/>
        </w:rPr>
        <w:t>How to Become an Educator</w:t>
      </w:r>
    </w:p>
    <w:p>
      <w:r>
        <w:rPr>
          <w:b w:val="0"/>
          <w:i w:val="0"/>
          <w:sz w:val="22"/>
        </w:rPr>
        <w:t>Educator access is granted through an application reviewed by the Aurufie team.</w:t>
      </w:r>
    </w:p>
    <w:p>
      <w:r>
        <w:rPr>
          <w:b w:val="0"/>
          <w:i w:val="0"/>
          <w:sz w:val="22"/>
        </w:rPr>
        <w:t>What we look for:</w:t>
      </w:r>
    </w:p>
    <w:p>
      <w:pPr>
        <w:pStyle w:val="ListBullet"/>
      </w:pPr>
      <w:r>
        <w:rPr>
          <w:sz w:val="22"/>
        </w:rPr>
        <w:t>Native or near-native fluency in the target language, or recognized expertise in a cultural domain</w:t>
      </w:r>
    </w:p>
    <w:p>
      <w:pPr>
        <w:pStyle w:val="ListBullet"/>
      </w:pPr>
      <w:r>
        <w:rPr>
          <w:sz w:val="22"/>
        </w:rPr>
        <w:t>Ability to commit to quality — content you submit should be accurate, reviewed, and culturally grounded</w:t>
      </w:r>
    </w:p>
    <w:p>
      <w:pPr>
        <w:pStyle w:val="ListBullet"/>
      </w:pPr>
      <w:r>
        <w:rPr>
          <w:sz w:val="22"/>
        </w:rPr>
        <w:t>Reliability — a willingness to follow through on content you start</w:t>
      </w:r>
    </w:p>
    <w:p>
      <w:pPr>
        <w:pStyle w:val="ListBullet"/>
      </w:pPr>
      <w:r>
        <w:rPr>
          <w:sz w:val="22"/>
        </w:rPr>
        <w:t>Respect for the community whose language and culture you are representing</w:t>
      </w:r>
    </w:p>
    <w:p>
      <w:r>
        <w:rPr>
          <w:b w:val="0"/>
          <w:i w:val="0"/>
          <w:sz w:val="22"/>
        </w:rPr>
        <w:t>Formal academic credentials are welcome but not required. Cultural knowledge, community standing, and demonstrated reliability carry equal weight.</w:t>
      </w:r>
    </w:p>
    <w:p>
      <w:r>
        <w:rPr>
          <w:b w:val="0"/>
          <w:i w:val="0"/>
          <w:sz w:val="22"/>
        </w:rPr>
        <w:t>To apply: [educator application link]</w:t>
      </w:r>
    </w:p>
    <w:p>
      <w:pPr>
        <w:pStyle w:val="Heading1"/>
        <w:jc w:val="left"/>
      </w:pPr>
      <w:r>
        <w:rPr>
          <w:color w:val="000000"/>
          <w:sz w:val="32"/>
        </w:rPr>
        <w:t>Reviewer Access</w:t>
      </w:r>
    </w:p>
    <w:p>
      <w:r>
        <w:rPr>
          <w:b w:val="0"/>
          <w:i w:val="0"/>
          <w:sz w:val="22"/>
        </w:rPr>
        <w:t>Reviewers are trusted community members who assess submitted contributions before they are published. Reviewers check for accuracy, cultural appropriateness, completeness, and alignment with platform standards.</w:t>
      </w:r>
    </w:p>
    <w:p>
      <w:r>
        <w:rPr>
          <w:b w:val="0"/>
          <w:i w:val="0"/>
          <w:sz w:val="22"/>
        </w:rPr>
        <w:t>Reviewer roles are available to educators and contributors with a demonstrated track record on the platform. To apply: [reviewer application link]</w:t>
      </w:r>
    </w:p>
    <w:p>
      <w:r>
        <w:rPr>
          <w:b w:val="0"/>
          <w:i w:val="0"/>
          <w:sz w:val="22"/>
        </w:rPr>
        <w:t>When you are approved as a reviewer, you will receive a copy of this document along with the Content Standards guide.</w:t>
      </w:r>
    </w:p>
    <w:p>
      <w:pPr>
        <w:pStyle w:val="Heading1"/>
        <w:jc w:val="left"/>
      </w:pPr>
      <w:r>
        <w:rPr>
          <w:color w:val="000000"/>
          <w:sz w:val="32"/>
        </w:rPr>
        <w:t>Platform Features for Educators</w:t>
      </w:r>
    </w:p>
    <w:p>
      <w:r>
        <w:rPr>
          <w:b w:val="0"/>
          <w:i w:val="0"/>
          <w:sz w:val="22"/>
        </w:rPr>
        <w:t>The following features are available to educators on the Beeli application:</w:t>
      </w:r>
    </w:p>
    <w:p/>
    <w:p>
      <w:pPr>
        <w:pStyle w:val="Heading2"/>
        <w:jc w:val="left"/>
      </w:pPr>
      <w:r>
        <w:rPr>
          <w:color w:val="000000"/>
          <w:sz w:val="26"/>
        </w:rPr>
        <w:t>Educator CMS Panel</w:t>
      </w:r>
    </w:p>
    <w:p>
      <w:pPr>
        <w:pStyle w:val="ListBullet"/>
      </w:pPr>
      <w:r>
        <w:rPr>
          <w:b/>
          <w:sz w:val="22"/>
        </w:rPr>
        <w:t xml:space="preserve">Course Builder — </w:t>
      </w:r>
      <w:r>
        <w:rPr>
          <w:sz w:val="22"/>
        </w:rPr>
        <w:t>Create and organize courses by level, theme, or objective</w:t>
      </w:r>
    </w:p>
    <w:p>
      <w:pPr>
        <w:pStyle w:val="ListBullet"/>
      </w:pPr>
      <w:r>
        <w:rPr>
          <w:b/>
          <w:sz w:val="22"/>
        </w:rPr>
        <w:t xml:space="preserve">Lesson Editor — </w:t>
      </w:r>
      <w:r>
        <w:rPr>
          <w:sz w:val="22"/>
        </w:rPr>
        <w:t>Build lessons with audio upload, transcript entry, vocabulary tagging, and cultural notes</w:t>
      </w:r>
    </w:p>
    <w:p>
      <w:pPr>
        <w:pStyle w:val="ListBullet"/>
      </w:pPr>
      <w:r>
        <w:rPr>
          <w:b/>
          <w:sz w:val="22"/>
        </w:rPr>
        <w:t xml:space="preserve">Story Editor — </w:t>
      </w:r>
      <w:r>
        <w:rPr>
          <w:sz w:val="22"/>
        </w:rPr>
        <w:t>Write and sequence narrative-driven story chapters</w:t>
      </w:r>
    </w:p>
    <w:p>
      <w:pPr>
        <w:pStyle w:val="ListBullet"/>
      </w:pPr>
      <w:r>
        <w:rPr>
          <w:b/>
          <w:sz w:val="22"/>
        </w:rPr>
        <w:t xml:space="preserve">Dictionary Manager — </w:t>
      </w:r>
      <w:r>
        <w:rPr>
          <w:sz w:val="22"/>
        </w:rPr>
        <w:t>Add and edit vocabulary entries with definitions, examples, and audio</w:t>
      </w:r>
    </w:p>
    <w:p>
      <w:pPr>
        <w:pStyle w:val="ListBullet"/>
      </w:pPr>
      <w:r>
        <w:rPr>
          <w:b/>
          <w:sz w:val="22"/>
        </w:rPr>
        <w:t xml:space="preserve">Culture Manager — </w:t>
      </w:r>
      <w:r>
        <w:rPr>
          <w:sz w:val="22"/>
        </w:rPr>
        <w:t>Create entries across eight cultural categories</w:t>
      </w:r>
    </w:p>
    <w:p>
      <w:pPr>
        <w:pStyle w:val="ListBullet"/>
      </w:pPr>
      <w:r>
        <w:rPr>
          <w:b/>
          <w:sz w:val="22"/>
        </w:rPr>
        <w:t xml:space="preserve">Educator Stats — </w:t>
      </w:r>
      <w:r>
        <w:rPr>
          <w:sz w:val="22"/>
        </w:rPr>
        <w:t>View learner progress, quiz performance, and engagement data</w:t>
      </w:r>
    </w:p>
    <w:p>
      <w:pPr>
        <w:pStyle w:val="Heading2"/>
        <w:jc w:val="left"/>
      </w:pPr>
      <w:r>
        <w:rPr>
          <w:color w:val="000000"/>
          <w:sz w:val="26"/>
        </w:rPr>
        <w:t>Classroom Tools</w:t>
      </w:r>
    </w:p>
    <w:p>
      <w:pPr>
        <w:pStyle w:val="ListBullet"/>
      </w:pPr>
      <w:r>
        <w:rPr>
          <w:b/>
          <w:sz w:val="22"/>
        </w:rPr>
        <w:t xml:space="preserve">Group Management — </w:t>
      </w:r>
      <w:r>
        <w:rPr>
          <w:sz w:val="22"/>
        </w:rPr>
        <w:t>Create classes, add learners, assign roles</w:t>
      </w:r>
    </w:p>
    <w:p>
      <w:pPr>
        <w:pStyle w:val="ListBullet"/>
      </w:pPr>
      <w:r>
        <w:rPr>
          <w:b/>
          <w:sz w:val="22"/>
        </w:rPr>
        <w:t xml:space="preserve">Lesson Assignment — </w:t>
      </w:r>
      <w:r>
        <w:rPr>
          <w:sz w:val="22"/>
        </w:rPr>
        <w:t>Assign specific lessons or courses with optional due dates</w:t>
      </w:r>
    </w:p>
    <w:p>
      <w:pPr>
        <w:pStyle w:val="ListBullet"/>
      </w:pPr>
      <w:r>
        <w:rPr>
          <w:b/>
          <w:sz w:val="22"/>
        </w:rPr>
        <w:t xml:space="preserve">Progress Monitoring — </w:t>
      </w:r>
      <w:r>
        <w:rPr>
          <w:sz w:val="22"/>
        </w:rPr>
        <w:t>Track individual learner activity, streaks, and assessment results</w:t>
      </w:r>
    </w:p>
    <w:p>
      <w:pPr>
        <w:pStyle w:val="Heading2"/>
        <w:jc w:val="left"/>
      </w:pPr>
      <w:r>
        <w:rPr>
          <w:color w:val="000000"/>
          <w:sz w:val="26"/>
        </w:rPr>
        <w:t>Contribution System</w:t>
      </w:r>
    </w:p>
    <w:p>
      <w:pPr>
        <w:pStyle w:val="ListBullet"/>
      </w:pPr>
      <w:r>
        <w:rPr>
          <w:b/>
          <w:sz w:val="22"/>
        </w:rPr>
        <w:t xml:space="preserve">Single Submission — </w:t>
      </w:r>
      <w:r>
        <w:rPr>
          <w:sz w:val="22"/>
        </w:rPr>
        <w:t>Submit individual vocabulary entries, phrases, or cultural notes</w:t>
      </w:r>
    </w:p>
    <w:p>
      <w:pPr>
        <w:pStyle w:val="ListBullet"/>
      </w:pPr>
      <w:r>
        <w:rPr>
          <w:b/>
          <w:sz w:val="22"/>
        </w:rPr>
        <w:t xml:space="preserve">Bulk Upload — </w:t>
      </w:r>
      <w:r>
        <w:rPr>
          <w:sz w:val="22"/>
        </w:rPr>
        <w:t>Submit multiple entries at once via structured format</w:t>
      </w:r>
    </w:p>
    <w:p>
      <w:pPr>
        <w:pStyle w:val="ListBullet"/>
      </w:pPr>
      <w:r>
        <w:rPr>
          <w:b/>
          <w:sz w:val="22"/>
        </w:rPr>
        <w:t xml:space="preserve">Lesson Contribution — </w:t>
      </w:r>
      <w:r>
        <w:rPr>
          <w:sz w:val="22"/>
        </w:rPr>
        <w:t>Submit full lesson drafts for review</w:t>
      </w:r>
    </w:p>
    <w:p>
      <w:pPr>
        <w:pStyle w:val="ListBullet"/>
      </w:pPr>
      <w:r>
        <w:rPr>
          <w:b/>
          <w:sz w:val="22"/>
        </w:rPr>
        <w:t xml:space="preserve">Audio Recording — </w:t>
      </w:r>
      <w:r>
        <w:rPr>
          <w:sz w:val="22"/>
        </w:rPr>
        <w:t>Record and submit native-speaker audio directly in the app</w:t>
      </w:r>
    </w:p>
    <w:p>
      <w:pPr>
        <w:pStyle w:val="ListBullet"/>
      </w:pPr>
      <w:r>
        <w:rPr>
          <w:b/>
          <w:sz w:val="22"/>
        </w:rPr>
        <w:t xml:space="preserve">Bounties — </w:t>
      </w:r>
      <w:r>
        <w:rPr>
          <w:sz w:val="22"/>
        </w:rPr>
        <w:t>Claim open contribution tasks with defined rewards</w:t>
      </w:r>
    </w:p>
    <w:p>
      <w:pPr>
        <w:pStyle w:val="ListBullet"/>
      </w:pPr>
      <w:r>
        <w:rPr>
          <w:b/>
          <w:sz w:val="22"/>
        </w:rPr>
        <w:t xml:space="preserve">My Contributions — </w:t>
      </w:r>
      <w:r>
        <w:rPr>
          <w:sz w:val="22"/>
        </w:rPr>
        <w:t>Track the status of all your submissions</w:t>
      </w:r>
    </w:p>
    <w:p>
      <w:pPr>
        <w:pStyle w:val="Heading1"/>
        <w:jc w:val="left"/>
      </w:pPr>
      <w:r>
        <w:rPr>
          <w:color w:val="000000"/>
          <w:sz w:val="32"/>
        </w:rPr>
        <w:t>Get Involved</w:t>
      </w:r>
    </w:p>
    <w:p>
      <w:r>
        <w:rPr>
          <w:b w:val="0"/>
          <w:i w:val="0"/>
          <w:sz w:val="22"/>
        </w:rPr>
        <w:t>Aurufie is only as strong as the people who build it with us. If you have knowledge of a language that deserves to be taught, documented, and preserved — we want to work with you.</w:t>
      </w:r>
    </w:p>
    <w:p/>
    <w:p>
      <w:pPr>
        <w:pStyle w:val="ListBullet"/>
      </w:pPr>
      <w:r>
        <w:rPr>
          <w:b/>
          <w:sz w:val="22"/>
        </w:rPr>
        <w:t xml:space="preserve">Contribute Content — </w:t>
      </w:r>
      <w:r>
        <w:rPr>
          <w:sz w:val="22"/>
        </w:rPr>
        <w:t>Start with the contribution system. Submit your first entry today. [contribution link]</w:t>
      </w:r>
    </w:p>
    <w:p>
      <w:pPr>
        <w:pStyle w:val="ListBullet"/>
      </w:pPr>
      <w:r>
        <w:rPr>
          <w:b/>
          <w:sz w:val="22"/>
        </w:rPr>
        <w:t xml:space="preserve">Apply for Educator Access — </w:t>
      </w:r>
      <w:r>
        <w:rPr>
          <w:sz w:val="22"/>
        </w:rPr>
        <w:t>Build full courses and publish structured content. [educator application link]</w:t>
      </w:r>
    </w:p>
    <w:p>
      <w:pPr>
        <w:pStyle w:val="ListBullet"/>
      </w:pPr>
      <w:r>
        <w:rPr>
          <w:b/>
          <w:sz w:val="22"/>
        </w:rPr>
        <w:t xml:space="preserve">Apply to Become a Reviewer — </w:t>
      </w:r>
      <w:r>
        <w:rPr>
          <w:sz w:val="22"/>
        </w:rPr>
        <w:t>Help maintain quality across the platform. [reviewer application link]</w:t>
      </w:r>
    </w:p>
    <w:p>
      <w:pPr>
        <w:pStyle w:val="ListBullet"/>
      </w:pPr>
      <w:r>
        <w:rPr>
          <w:b/>
          <w:sz w:val="22"/>
        </w:rPr>
        <w:t xml:space="preserve">Partner With Us — </w:t>
      </w:r>
      <w:r>
        <w:rPr>
          <w:sz w:val="22"/>
        </w:rPr>
        <w:t>Represent a school, organization, or institution? Let's talk. [partnership contact]</w:t>
      </w:r>
    </w:p>
    <w:p>
      <w:pPr>
        <w:pStyle w:val="ListBullet"/>
      </w:pPr>
      <w:r>
        <w:rPr>
          <w:b/>
          <w:sz w:val="22"/>
        </w:rPr>
        <w:t xml:space="preserve">Reach the Team — </w:t>
      </w:r>
      <w:r>
        <w:rPr>
          <w:sz w:val="22"/>
        </w:rPr>
        <w:t>Questions, feedback, or ideas. [team email]</w:t>
      </w:r>
    </w:p>
    <w:p>
      <w:r>
        <w:br w:type="page"/>
      </w:r>
    </w:p>
    <w:p>
      <w:pPr>
        <w:pStyle w:val="Title"/>
        <w:jc w:val="left"/>
      </w:pPr>
      <w:r>
        <w:rPr>
          <w:color w:val="000000"/>
          <w:sz w:val="48"/>
        </w:rPr>
        <w:t>Part Two — Content Standards</w:t>
      </w:r>
    </w:p>
    <w:p/>
    <w:p>
      <w:r>
        <w:rPr>
          <w:i/>
          <w:color w:val="646464"/>
          <w:sz w:val="20"/>
        </w:rPr>
        <w:t>These standards apply to all content published on Aurufie, regardless of who creates it. They exist to protect the integrity of the languages and cultures the platform serves. All educators, contributors, and reviewers are expected to follow them.</w:t>
      </w:r>
    </w:p>
    <w:p/>
    <w:p>
      <w:pPr>
        <w:pStyle w:val="Heading1"/>
        <w:jc w:val="left"/>
      </w:pPr>
      <w:r>
        <w:rPr>
          <w:color w:val="000000"/>
          <w:sz w:val="32"/>
        </w:rPr>
        <w:t>Why Standards Matter</w:t>
      </w:r>
    </w:p>
    <w:p>
      <w:r>
        <w:rPr>
          <w:b w:val="0"/>
          <w:i w:val="0"/>
          <w:sz w:val="22"/>
        </w:rPr>
        <w:t>Aurufie serves languages and communities that have historically been misrepresented, oversimplified, or ignored entirely by educational platforms. That history creates a responsibility.</w:t>
      </w:r>
    </w:p>
    <w:p>
      <w:r>
        <w:rPr>
          <w:b w:val="0"/>
          <w:i w:val="0"/>
          <w:sz w:val="22"/>
        </w:rPr>
        <w:t>Poor content does not just fail to teach — it can actively harm. Inaccurate vocabulary misleads learners. Decontextualized cultural content flattens living traditions into curiosities. Audio recorded by non-native speakers embeds incorrect pronunciation. Inconsistent orthographies create confusion that compounds over time.</w:t>
      </w:r>
    </w:p>
    <w:p>
      <w:r>
        <w:rPr>
          <w:b w:val="0"/>
          <w:i w:val="0"/>
          <w:sz w:val="22"/>
        </w:rPr>
        <w:t>These standards exist to ensure that every piece of content on Aurufie reflects the care that languages and cultures deserve.</w:t>
      </w:r>
    </w:p>
    <w:p>
      <w:pPr>
        <w:pStyle w:val="Heading1"/>
        <w:jc w:val="left"/>
      </w:pPr>
      <w:r>
        <w:rPr>
          <w:color w:val="000000"/>
          <w:sz w:val="32"/>
        </w:rPr>
        <w:t>General Content Principles</w:t>
      </w:r>
    </w:p>
    <w:p>
      <w:pPr>
        <w:pStyle w:val="Heading2"/>
        <w:jc w:val="left"/>
      </w:pPr>
      <w:r>
        <w:rPr>
          <w:color w:val="000000"/>
          <w:sz w:val="26"/>
        </w:rPr>
        <w:t>Accuracy First</w:t>
      </w:r>
    </w:p>
    <w:p>
      <w:r>
        <w:rPr>
          <w:b w:val="0"/>
          <w:i w:val="0"/>
          <w:sz w:val="22"/>
        </w:rPr>
        <w:t>All content must be accurate. When in doubt, verify with a native speaker or cultural authority. Do not guess.</w:t>
      </w:r>
    </w:p>
    <w:p>
      <w:pPr>
        <w:pStyle w:val="Heading2"/>
        <w:jc w:val="left"/>
      </w:pPr>
      <w:r>
        <w:rPr>
          <w:color w:val="000000"/>
          <w:sz w:val="26"/>
        </w:rPr>
        <w:t>Cultural Context Is Not Optional</w:t>
      </w:r>
    </w:p>
    <w:p>
      <w:r>
        <w:rPr>
          <w:b w:val="0"/>
          <w:i w:val="0"/>
          <w:sz w:val="22"/>
        </w:rPr>
        <w:t>Vocabulary, grammar, and phrases must be accompanied by the cultural context that gives them meaning. A word taught without context is a word taught incompletely.</w:t>
      </w:r>
    </w:p>
    <w:p>
      <w:pPr>
        <w:pStyle w:val="Heading2"/>
        <w:jc w:val="left"/>
      </w:pPr>
      <w:r>
        <w:rPr>
          <w:color w:val="000000"/>
          <w:sz w:val="26"/>
        </w:rPr>
        <w:t>Represent Real Usage</w:t>
      </w:r>
    </w:p>
    <w:p>
      <w:r>
        <w:rPr>
          <w:b w:val="0"/>
          <w:i w:val="0"/>
          <w:sz w:val="22"/>
        </w:rPr>
        <w:t>Content should reflect how the language is actually spoken and used — not how it appears in outdated academic texts or simplified learner materials.</w:t>
      </w:r>
    </w:p>
    <w:p>
      <w:pPr>
        <w:pStyle w:val="Heading2"/>
        <w:jc w:val="left"/>
      </w:pPr>
      <w:r>
        <w:rPr>
          <w:color w:val="000000"/>
          <w:sz w:val="26"/>
        </w:rPr>
        <w:t>Respect Register</w:t>
      </w:r>
    </w:p>
    <w:p>
      <w:r>
        <w:rPr>
          <w:b w:val="0"/>
          <w:i w:val="0"/>
          <w:sz w:val="22"/>
        </w:rPr>
        <w:t>Languages have registers — formal, informal, ceremonial, casual. Content should clearly indicate which register it represents and when each is appropriate.</w:t>
      </w:r>
    </w:p>
    <w:p>
      <w:pPr>
        <w:pStyle w:val="Heading2"/>
        <w:jc w:val="left"/>
      </w:pPr>
      <w:r>
        <w:rPr>
          <w:color w:val="000000"/>
          <w:sz w:val="26"/>
        </w:rPr>
        <w:t>Attribute Sources</w:t>
      </w:r>
    </w:p>
    <w:p>
      <w:r>
        <w:rPr>
          <w:b w:val="0"/>
          <w:i w:val="0"/>
          <w:sz w:val="22"/>
        </w:rPr>
        <w:t>Wherever content originates from a specific community member, elder, recording, or publication, it should be attributed.</w:t>
      </w:r>
    </w:p>
    <w:p>
      <w:pPr>
        <w:pStyle w:val="Heading2"/>
        <w:jc w:val="left"/>
      </w:pPr>
      <w:r>
        <w:rPr>
          <w:color w:val="000000"/>
          <w:sz w:val="26"/>
        </w:rPr>
        <w:t>Flag Uncertainty</w:t>
      </w:r>
    </w:p>
    <w:p>
      <w:r>
        <w:rPr>
          <w:b w:val="0"/>
          <w:i w:val="0"/>
          <w:sz w:val="22"/>
        </w:rPr>
        <w:t>If you are not certain about accuracy, flag it during submission. A question mark is better than a confident mistake.</w:t>
      </w:r>
    </w:p>
    <w:p>
      <w:pPr>
        <w:pStyle w:val="Heading1"/>
        <w:jc w:val="left"/>
      </w:pPr>
      <w:r>
        <w:rPr>
          <w:color w:val="000000"/>
          <w:sz w:val="32"/>
        </w:rPr>
        <w:t>Audio Standards</w:t>
      </w:r>
    </w:p>
    <w:p>
      <w:r>
        <w:rPr>
          <w:b w:val="0"/>
          <w:i w:val="0"/>
          <w:sz w:val="22"/>
        </w:rPr>
        <w:t>Audio is the most important content type on Aurufie. A learner who hears incorrect pronunciation from their first lesson will carry that error forward.</w:t>
      </w:r>
    </w:p>
    <w:p>
      <w:pPr>
        <w:pStyle w:val="Heading2"/>
        <w:jc w:val="left"/>
      </w:pPr>
      <w:r>
        <w:rPr>
          <w:color w:val="000000"/>
          <w:sz w:val="26"/>
        </w:rPr>
        <w:t>Native Speaker Recordings Preferred</w:t>
      </w:r>
    </w:p>
    <w:p>
      <w:r>
        <w:rPr>
          <w:b w:val="0"/>
          <w:i w:val="0"/>
          <w:sz w:val="22"/>
        </w:rPr>
        <w:t>All audio should be recorded by a native speaker of the language wherever possible. Near-native speakers with recognized fluency may contribute with appropriate review.</w:t>
      </w:r>
    </w:p>
    <w:p>
      <w:pPr>
        <w:pStyle w:val="Heading2"/>
        <w:jc w:val="left"/>
      </w:pPr>
      <w:r>
        <w:rPr>
          <w:color w:val="000000"/>
          <w:sz w:val="26"/>
        </w:rPr>
        <w:t>Recording Quality</w:t>
      </w:r>
    </w:p>
    <w:p>
      <w:r>
        <w:rPr>
          <w:b w:val="0"/>
          <w:i w:val="0"/>
          <w:sz w:val="22"/>
        </w:rPr>
        <w:t>Recordings should be made in a quiet environment with minimal background noise. A standard smartphone held at a natural speaking distance is acceptable. Recordings should not be muffled, clipped, or distorted.</w:t>
      </w:r>
    </w:p>
    <w:p>
      <w:pPr>
        <w:pStyle w:val="Heading2"/>
        <w:jc w:val="left"/>
      </w:pPr>
      <w:r>
        <w:rPr>
          <w:color w:val="000000"/>
          <w:sz w:val="26"/>
        </w:rPr>
        <w:t>Natural Pace</w:t>
      </w:r>
    </w:p>
    <w:p>
      <w:r>
        <w:rPr>
          <w:b w:val="0"/>
          <w:i w:val="0"/>
          <w:sz w:val="22"/>
        </w:rPr>
        <w:t>Speak at a natural conversational pace. Artificially slow recordings teach learners to expect an unrealistic version of the language. Clarity should come from enunciation, not from slowing down.</w:t>
      </w:r>
    </w:p>
    <w:p>
      <w:pPr>
        <w:pStyle w:val="Heading2"/>
        <w:jc w:val="left"/>
      </w:pPr>
      <w:r>
        <w:rPr>
          <w:color w:val="000000"/>
          <w:sz w:val="26"/>
        </w:rPr>
        <w:t>Tonal Languages</w:t>
      </w:r>
    </w:p>
    <w:p>
      <w:r>
        <w:rPr>
          <w:b w:val="0"/>
          <w:i w:val="0"/>
          <w:sz w:val="22"/>
        </w:rPr>
        <w:t>For tonal languages, tones must be clearly and accurately represented. Tonal errors are not minor — they change meaning. Reviewers should pay particular attention to tonal accuracy.</w:t>
      </w:r>
    </w:p>
    <w:p>
      <w:pPr>
        <w:pStyle w:val="Heading2"/>
        <w:jc w:val="left"/>
      </w:pPr>
      <w:r>
        <w:rPr>
          <w:color w:val="000000"/>
          <w:sz w:val="26"/>
        </w:rPr>
        <w:t>Consistency</w:t>
      </w:r>
    </w:p>
    <w:p>
      <w:r>
        <w:rPr>
          <w:b w:val="0"/>
          <w:i w:val="0"/>
          <w:sz w:val="22"/>
        </w:rPr>
        <w:t>If multiple recordings exist for the same word or phrase, they should be consistent in pronunciation. Conflicting recordings confuse learners and should not both be published.</w:t>
      </w:r>
    </w:p>
    <w:p>
      <w:pPr>
        <w:pStyle w:val="Heading1"/>
        <w:jc w:val="left"/>
      </w:pPr>
      <w:r>
        <w:rPr>
          <w:color w:val="000000"/>
          <w:sz w:val="32"/>
        </w:rPr>
        <w:t>Lesson Standards</w:t>
      </w:r>
    </w:p>
    <w:p>
      <w:pPr>
        <w:pStyle w:val="Heading2"/>
        <w:jc w:val="left"/>
      </w:pPr>
      <w:r>
        <w:rPr>
          <w:color w:val="000000"/>
          <w:sz w:val="26"/>
        </w:rPr>
        <w:t>Lesson Scope</w:t>
      </w:r>
    </w:p>
    <w:p>
      <w:r>
        <w:rPr>
          <w:b w:val="0"/>
          <w:i w:val="0"/>
          <w:sz w:val="22"/>
        </w:rPr>
        <w:t>Each lesson should cover a clear, bounded topic. Avoid lessons that try to cover too much. A lesson on greetings should teach greetings — not greetings, numbers, and family vocabulary simultaneously.</w:t>
      </w:r>
    </w:p>
    <w:p>
      <w:pPr>
        <w:pStyle w:val="Heading2"/>
        <w:jc w:val="left"/>
      </w:pPr>
      <w:r>
        <w:rPr>
          <w:color w:val="000000"/>
          <w:sz w:val="26"/>
        </w:rPr>
        <w:t>Audio First</w:t>
      </w:r>
    </w:p>
    <w:p>
      <w:r>
        <w:rPr>
          <w:b w:val="0"/>
          <w:i w:val="0"/>
          <w:sz w:val="22"/>
        </w:rPr>
        <w:t>Every lesson must have a primary audio track recorded by a native speaker. A lesson without audio is incomplete.</w:t>
      </w:r>
    </w:p>
    <w:p>
      <w:pPr>
        <w:pStyle w:val="Heading2"/>
        <w:jc w:val="left"/>
      </w:pPr>
      <w:r>
        <w:rPr>
          <w:color w:val="000000"/>
          <w:sz w:val="26"/>
        </w:rPr>
        <w:t>Transcript Accuracy</w:t>
      </w:r>
    </w:p>
    <w:p>
      <w:r>
        <w:rPr>
          <w:b w:val="0"/>
          <w:i w:val="0"/>
          <w:sz w:val="22"/>
        </w:rPr>
        <w:t>Transcripts must match the audio exactly. Discrepancies between spoken and written content confuse learners and undermine trust.</w:t>
      </w:r>
    </w:p>
    <w:p>
      <w:pPr>
        <w:pStyle w:val="Heading2"/>
        <w:jc w:val="left"/>
      </w:pPr>
      <w:r>
        <w:rPr>
          <w:color w:val="000000"/>
          <w:sz w:val="26"/>
        </w:rPr>
        <w:t>Vocabulary Tagging</w:t>
      </w:r>
    </w:p>
    <w:p>
      <w:r>
        <w:rPr>
          <w:b w:val="0"/>
          <w:i w:val="0"/>
          <w:sz w:val="22"/>
        </w:rPr>
        <w:t>Vocabulary introduced in a lesson should be tagged so it appears in the learner's word bank and is available for review and spaced repetition.</w:t>
      </w:r>
    </w:p>
    <w:p>
      <w:pPr>
        <w:pStyle w:val="Heading2"/>
        <w:jc w:val="left"/>
      </w:pPr>
      <w:r>
        <w:rPr>
          <w:color w:val="000000"/>
          <w:sz w:val="26"/>
        </w:rPr>
        <w:t>Cultural Notes</w:t>
      </w:r>
    </w:p>
    <w:p>
      <w:r>
        <w:rPr>
          <w:b w:val="0"/>
          <w:i w:val="0"/>
          <w:sz w:val="22"/>
        </w:rPr>
        <w:t>Every lesson should include at least one cultural note contextualizing what is being taught. Language instruction without cultural grounding is incomplete.</w:t>
      </w:r>
    </w:p>
    <w:p>
      <w:pPr>
        <w:pStyle w:val="Heading2"/>
        <w:jc w:val="left"/>
      </w:pPr>
      <w:r>
        <w:rPr>
          <w:color w:val="000000"/>
          <w:sz w:val="26"/>
        </w:rPr>
        <w:t>Assessment Alignment</w:t>
      </w:r>
    </w:p>
    <w:p>
      <w:r>
        <w:rPr>
          <w:b w:val="0"/>
          <w:i w:val="0"/>
          <w:sz w:val="22"/>
        </w:rPr>
        <w:t>Quiz questions at the end of a lesson must test what was taught in that lesson. Do not introduce new vocabulary or concepts in assessment questions.</w:t>
      </w:r>
    </w:p>
    <w:p>
      <w:pPr>
        <w:pStyle w:val="Heading2"/>
        <w:jc w:val="left"/>
      </w:pPr>
      <w:r>
        <w:rPr>
          <w:color w:val="000000"/>
          <w:sz w:val="26"/>
        </w:rPr>
        <w:t>Progressive Difficulty</w:t>
      </w:r>
    </w:p>
    <w:p>
      <w:r>
        <w:rPr>
          <w:b w:val="0"/>
          <w:i w:val="0"/>
          <w:sz w:val="22"/>
        </w:rPr>
        <w:t>Lessons within a course should increase in complexity gradually. Each lesson should build on what came before.</w:t>
      </w:r>
    </w:p>
    <w:p>
      <w:pPr>
        <w:pStyle w:val="Heading1"/>
        <w:jc w:val="left"/>
      </w:pPr>
      <w:r>
        <w:rPr>
          <w:color w:val="000000"/>
          <w:sz w:val="32"/>
        </w:rPr>
        <w:t>Dictionary Entry Standards</w:t>
      </w:r>
    </w:p>
    <w:p>
      <w:r>
        <w:rPr>
          <w:b w:val="0"/>
          <w:i w:val="0"/>
          <w:sz w:val="22"/>
        </w:rPr>
        <w:t>Dictionary entries are one of the most referenced content types on the platform. They must be accurate, complete, and useful.</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Field</w:t>
            </w:r>
          </w:p>
        </w:tc>
        <w:tc>
          <w:tcPr>
            <w:tcW w:type="dxa" w:w="2880"/>
          </w:tcPr>
          <w:p>
            <w:r>
              <w:rPr>
                <w:b/>
                <w:sz w:val="20"/>
              </w:rPr>
              <w:t>Required</w:t>
            </w:r>
          </w:p>
        </w:tc>
        <w:tc>
          <w:tcPr>
            <w:tcW w:type="dxa" w:w="2880"/>
          </w:tcPr>
          <w:p>
            <w:r>
              <w:rPr>
                <w:b/>
                <w:sz w:val="20"/>
              </w:rPr>
              <w:t>Notes</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rPr>
                <w:sz w:val="20"/>
              </w:rPr>
              <w:t>Word / Phrase</w:t>
            </w:r>
          </w:p>
        </w:tc>
        <w:tc>
          <w:tcPr>
            <w:tcW w:type="dxa" w:w="2880"/>
          </w:tcPr>
          <w:p>
            <w:r>
              <w:rPr>
                <w:sz w:val="20"/>
              </w:rPr>
              <w:t>Yes</w:t>
            </w:r>
          </w:p>
        </w:tc>
        <w:tc>
          <w:tcPr>
            <w:tcW w:type="dxa" w:w="2880"/>
          </w:tcPr>
          <w:p>
            <w:r>
              <w:rPr>
                <w:sz w:val="20"/>
              </w:rPr>
              <w:t>In the target language, spelled correctly with appropriate diacritics</w:t>
            </w:r>
          </w:p>
        </w:tc>
      </w:tr>
      <w:tr>
        <w:tc>
          <w:tcPr>
            <w:tcW w:type="dxa" w:w="2880"/>
          </w:tcPr>
          <w:p>
            <w:r>
              <w:rPr>
                <w:sz w:val="20"/>
              </w:rPr>
              <w:t>Part of Speech</w:t>
            </w:r>
          </w:p>
        </w:tc>
        <w:tc>
          <w:tcPr>
            <w:tcW w:type="dxa" w:w="2880"/>
          </w:tcPr>
          <w:p>
            <w:r>
              <w:rPr>
                <w:sz w:val="20"/>
              </w:rPr>
              <w:t>Yes</w:t>
            </w:r>
          </w:p>
        </w:tc>
        <w:tc>
          <w:tcPr>
            <w:tcW w:type="dxa" w:w="2880"/>
          </w:tcPr>
          <w:p>
            <w:r>
              <w:rPr>
                <w:sz w:val="20"/>
              </w:rPr>
              <w:t>Noun, verb, adjective, adverb, phrase, etc.</w:t>
            </w:r>
          </w:p>
        </w:tc>
      </w:tr>
      <w:tr>
        <w:tc>
          <w:tcPr>
            <w:tcW w:type="dxa" w:w="2880"/>
          </w:tcPr>
          <w:p>
            <w:r>
              <w:rPr>
                <w:sz w:val="20"/>
              </w:rPr>
              <w:t>Definition</w:t>
            </w:r>
          </w:p>
        </w:tc>
        <w:tc>
          <w:tcPr>
            <w:tcW w:type="dxa" w:w="2880"/>
          </w:tcPr>
          <w:p>
            <w:r>
              <w:rPr>
                <w:sz w:val="20"/>
              </w:rPr>
              <w:t>Yes</w:t>
            </w:r>
          </w:p>
        </w:tc>
        <w:tc>
          <w:tcPr>
            <w:tcW w:type="dxa" w:w="2880"/>
          </w:tcPr>
          <w:p>
            <w:r>
              <w:rPr>
                <w:sz w:val="20"/>
              </w:rPr>
              <w:t>Clear English (or interface language) definition</w:t>
            </w:r>
          </w:p>
        </w:tc>
      </w:tr>
      <w:tr>
        <w:tc>
          <w:tcPr>
            <w:tcW w:type="dxa" w:w="2880"/>
          </w:tcPr>
          <w:p>
            <w:r>
              <w:rPr>
                <w:sz w:val="20"/>
              </w:rPr>
              <w:t>Example Sentence</w:t>
            </w:r>
          </w:p>
        </w:tc>
        <w:tc>
          <w:tcPr>
            <w:tcW w:type="dxa" w:w="2880"/>
          </w:tcPr>
          <w:p>
            <w:r>
              <w:rPr>
                <w:sz w:val="20"/>
              </w:rPr>
              <w:t>Yes</w:t>
            </w:r>
          </w:p>
        </w:tc>
        <w:tc>
          <w:tcPr>
            <w:tcW w:type="dxa" w:w="2880"/>
          </w:tcPr>
          <w:p>
            <w:r>
              <w:rPr>
                <w:sz w:val="20"/>
              </w:rPr>
              <w:t>At least one example in the target language with translation</w:t>
            </w:r>
          </w:p>
        </w:tc>
      </w:tr>
      <w:tr>
        <w:tc>
          <w:tcPr>
            <w:tcW w:type="dxa" w:w="2880"/>
          </w:tcPr>
          <w:p>
            <w:r>
              <w:rPr>
                <w:sz w:val="20"/>
              </w:rPr>
              <w:t>Audio Pronunciation</w:t>
            </w:r>
          </w:p>
        </w:tc>
        <w:tc>
          <w:tcPr>
            <w:tcW w:type="dxa" w:w="2880"/>
          </w:tcPr>
          <w:p>
            <w:r>
              <w:rPr>
                <w:sz w:val="20"/>
              </w:rPr>
              <w:t>Strongly recommended</w:t>
            </w:r>
          </w:p>
        </w:tc>
        <w:tc>
          <w:tcPr>
            <w:tcW w:type="dxa" w:w="2880"/>
          </w:tcPr>
          <w:p>
            <w:r>
              <w:rPr>
                <w:sz w:val="20"/>
              </w:rPr>
              <w:t>Native speaker recording</w:t>
            </w:r>
          </w:p>
        </w:tc>
      </w:tr>
      <w:tr>
        <w:tc>
          <w:tcPr>
            <w:tcW w:type="dxa" w:w="2880"/>
          </w:tcPr>
          <w:p>
            <w:r>
              <w:rPr>
                <w:sz w:val="20"/>
              </w:rPr>
              <w:t>Alternate Forms</w:t>
            </w:r>
          </w:p>
        </w:tc>
        <w:tc>
          <w:tcPr>
            <w:tcW w:type="dxa" w:w="2880"/>
          </w:tcPr>
          <w:p>
            <w:r>
              <w:rPr>
                <w:sz w:val="20"/>
              </w:rPr>
              <w:t>If applicable</w:t>
            </w:r>
          </w:p>
        </w:tc>
        <w:tc>
          <w:tcPr>
            <w:tcW w:type="dxa" w:w="2880"/>
          </w:tcPr>
          <w:p>
            <w:r>
              <w:rPr>
                <w:sz w:val="20"/>
              </w:rPr>
              <w:t>Plural forms, tonal variants, regional variants</w:t>
            </w:r>
          </w:p>
        </w:tc>
      </w:tr>
      <w:tr>
        <w:tc>
          <w:tcPr>
            <w:tcW w:type="dxa" w:w="2880"/>
          </w:tcPr>
          <w:p>
            <w:r>
              <w:rPr>
                <w:sz w:val="20"/>
              </w:rPr>
              <w:t>Register</w:t>
            </w:r>
          </w:p>
        </w:tc>
        <w:tc>
          <w:tcPr>
            <w:tcW w:type="dxa" w:w="2880"/>
          </w:tcPr>
          <w:p>
            <w:r>
              <w:rPr>
                <w:sz w:val="20"/>
              </w:rPr>
              <w:t>If applicable</w:t>
            </w:r>
          </w:p>
        </w:tc>
        <w:tc>
          <w:tcPr>
            <w:tcW w:type="dxa" w:w="2880"/>
          </w:tcPr>
          <w:p>
            <w:r>
              <w:rPr>
                <w:sz w:val="20"/>
              </w:rPr>
              <w:t>Formal, informal, ceremonial, archaic</w:t>
            </w:r>
          </w:p>
        </w:tc>
      </w:tr>
      <w:tr>
        <w:tc>
          <w:tcPr>
            <w:tcW w:type="dxa" w:w="2880"/>
          </w:tcPr>
          <w:p>
            <w:r>
              <w:rPr>
                <w:sz w:val="20"/>
              </w:rPr>
              <w:t>Cultural Note</w:t>
            </w:r>
          </w:p>
        </w:tc>
        <w:tc>
          <w:tcPr>
            <w:tcW w:type="dxa" w:w="2880"/>
          </w:tcPr>
          <w:p>
            <w:r>
              <w:rPr>
                <w:sz w:val="20"/>
              </w:rPr>
              <w:t>If applicable</w:t>
            </w:r>
          </w:p>
        </w:tc>
        <w:tc>
          <w:tcPr>
            <w:tcW w:type="dxa" w:w="2880"/>
          </w:tcPr>
          <w:p>
            <w:r>
              <w:rPr>
                <w:sz w:val="20"/>
              </w:rPr>
              <w:t>Any cultural context necessary to use the word correctly</w:t>
            </w:r>
          </w:p>
        </w:tc>
      </w:tr>
      <w:tr>
        <w:tc>
          <w:tcPr>
            <w:tcW w:type="dxa" w:w="2880"/>
          </w:tcPr>
          <w:p>
            <w:r>
              <w:rPr>
                <w:sz w:val="20"/>
              </w:rPr>
              <w:t>Source / Attribution</w:t>
            </w:r>
          </w:p>
        </w:tc>
        <w:tc>
          <w:tcPr>
            <w:tcW w:type="dxa" w:w="2880"/>
          </w:tcPr>
          <w:p>
            <w:r>
              <w:rPr>
                <w:sz w:val="20"/>
              </w:rPr>
              <w:t>If applicable</w:t>
            </w:r>
          </w:p>
        </w:tc>
        <w:tc>
          <w:tcPr>
            <w:tcW w:type="dxa" w:w="2880"/>
          </w:tcPr>
          <w:p>
            <w:r>
              <w:rPr>
                <w:sz w:val="20"/>
              </w:rPr>
              <w:t>Origin of the entry if contributed by a specific person</w:t>
            </w:r>
          </w:p>
        </w:tc>
      </w:tr>
    </w:tbl>
    <w:p/>
    <w:p>
      <w:pPr>
        <w:pStyle w:val="Heading1"/>
        <w:jc w:val="left"/>
      </w:pPr>
      <w:r>
        <w:rPr>
          <w:color w:val="000000"/>
          <w:sz w:val="32"/>
        </w:rPr>
        <w:t>Story and Narrative Standards</w:t>
      </w:r>
    </w:p>
    <w:p>
      <w:pPr>
        <w:pStyle w:val="Heading2"/>
        <w:jc w:val="left"/>
      </w:pPr>
      <w:r>
        <w:rPr>
          <w:color w:val="000000"/>
          <w:sz w:val="26"/>
        </w:rPr>
        <w:t>Cultural Accuracy</w:t>
      </w:r>
    </w:p>
    <w:p>
      <w:r>
        <w:rPr>
          <w:b w:val="0"/>
          <w:i w:val="0"/>
          <w:sz w:val="22"/>
        </w:rPr>
        <w:t>Stories drawn from oral tradition must be presented accurately. Do not simplify, sanitize, or alter culturally significant stories to make them more accessible. If simplification is necessary for a beginner audience, note explicitly that the version is adapted.</w:t>
      </w:r>
    </w:p>
    <w:p>
      <w:pPr>
        <w:pStyle w:val="Heading2"/>
        <w:jc w:val="left"/>
      </w:pPr>
      <w:r>
        <w:rPr>
          <w:color w:val="000000"/>
          <w:sz w:val="26"/>
        </w:rPr>
        <w:t>Attribution of Oral Tradition</w:t>
      </w:r>
    </w:p>
    <w:p>
      <w:r>
        <w:rPr>
          <w:b w:val="0"/>
          <w:i w:val="0"/>
          <w:sz w:val="22"/>
        </w:rPr>
        <w:t>Stories from oral tradition should be attributed to the community or tradition they originate from, not to the individual who transcribed them.</w:t>
      </w:r>
    </w:p>
    <w:p>
      <w:pPr>
        <w:pStyle w:val="Heading2"/>
        <w:jc w:val="left"/>
      </w:pPr>
      <w:r>
        <w:rPr>
          <w:color w:val="000000"/>
          <w:sz w:val="26"/>
        </w:rPr>
        <w:t>Language Level Matching</w:t>
      </w:r>
    </w:p>
    <w:p>
      <w:r>
        <w:rPr>
          <w:b w:val="0"/>
          <w:i w:val="0"/>
          <w:sz w:val="22"/>
        </w:rPr>
        <w:t>Stories should be written at a level appropriate for their intended audience. A story in a Beginner course should not use vocabulary beyond what has been taught.</w:t>
      </w:r>
    </w:p>
    <w:p>
      <w:pPr>
        <w:pStyle w:val="Heading2"/>
        <w:jc w:val="left"/>
      </w:pPr>
      <w:r>
        <w:rPr>
          <w:color w:val="000000"/>
          <w:sz w:val="26"/>
        </w:rPr>
        <w:t>Audio</w:t>
      </w:r>
    </w:p>
    <w:p>
      <w:r>
        <w:rPr>
          <w:b w:val="0"/>
          <w:i w:val="0"/>
          <w:sz w:val="22"/>
        </w:rPr>
        <w:t>Stories should have audio recorded by a native speaker. Audio is particularly important for narrative content, where rhythm, pacing, and tone carry cultural meaning that text alone cannot convey.</w:t>
      </w:r>
    </w:p>
    <w:p>
      <w:pPr>
        <w:pStyle w:val="Heading2"/>
        <w:jc w:val="left"/>
      </w:pPr>
      <w:r>
        <w:rPr>
          <w:color w:val="000000"/>
          <w:sz w:val="26"/>
        </w:rPr>
        <w:t>Translation Notes</w:t>
      </w:r>
    </w:p>
    <w:p>
      <w:r>
        <w:rPr>
          <w:b w:val="0"/>
          <w:i w:val="0"/>
          <w:sz w:val="22"/>
        </w:rPr>
        <w:t>Where a story contains culturally specific terms with no direct English equivalent, a translation note should explain the concept rather than forcing an approximate translation.</w:t>
      </w:r>
    </w:p>
    <w:p>
      <w:pPr>
        <w:pStyle w:val="Heading1"/>
        <w:jc w:val="left"/>
      </w:pPr>
      <w:r>
        <w:rPr>
          <w:color w:val="000000"/>
          <w:sz w:val="32"/>
        </w:rPr>
        <w:t>Cultural Content Standards</w:t>
      </w:r>
    </w:p>
    <w:p>
      <w:r>
        <w:rPr>
          <w:b w:val="0"/>
          <w:i w:val="0"/>
          <w:sz w:val="22"/>
        </w:rPr>
        <w:t>Cultural content on Aurufie is organized into eight categories: colors, naming traditions, festivals, myths and oral tradition, music, clothing, cuisine, and greetings. The following standards apply to all eight.</w:t>
      </w:r>
    </w:p>
    <w:p>
      <w:pPr>
        <w:pStyle w:val="Heading2"/>
        <w:jc w:val="left"/>
      </w:pPr>
      <w:r>
        <w:rPr>
          <w:color w:val="000000"/>
          <w:sz w:val="26"/>
        </w:rPr>
        <w:t>Written by People Who Know</w:t>
      </w:r>
    </w:p>
    <w:p>
      <w:r>
        <w:rPr>
          <w:b w:val="0"/>
          <w:i w:val="0"/>
          <w:sz w:val="22"/>
        </w:rPr>
        <w:t>Cultural content should be written or closely reviewed by someone with direct knowledge of the tradition, community, or practice being described. External research alone is not sufficient.</w:t>
      </w:r>
    </w:p>
    <w:p>
      <w:pPr>
        <w:pStyle w:val="Heading2"/>
        <w:jc w:val="left"/>
      </w:pPr>
      <w:r>
        <w:rPr>
          <w:color w:val="000000"/>
          <w:sz w:val="26"/>
        </w:rPr>
        <w:t>Avoid Exoticization</w:t>
      </w:r>
    </w:p>
    <w:p>
      <w:r>
        <w:rPr>
          <w:b w:val="0"/>
          <w:i w:val="0"/>
          <w:sz w:val="22"/>
        </w:rPr>
        <w:t>Do not frame cultural practices as unusual, exotic, or primitive relative to dominant cultures. Present practices on their own terms, within their own logic and context.</w:t>
      </w:r>
    </w:p>
    <w:p>
      <w:pPr>
        <w:pStyle w:val="Heading2"/>
        <w:jc w:val="left"/>
      </w:pPr>
      <w:r>
        <w:rPr>
          <w:color w:val="000000"/>
          <w:sz w:val="26"/>
        </w:rPr>
        <w:t>Present Tense for Living Traditions</w:t>
      </w:r>
    </w:p>
    <w:p>
      <w:r>
        <w:rPr>
          <w:b w:val="0"/>
          <w:i w:val="0"/>
          <w:sz w:val="22"/>
        </w:rPr>
        <w:t>Use present tense for traditions that are currently practiced. Use past tense only for traditions that are genuinely historical.</w:t>
      </w:r>
    </w:p>
    <w:p>
      <w:pPr>
        <w:pStyle w:val="Heading2"/>
        <w:jc w:val="left"/>
      </w:pPr>
      <w:r>
        <w:rPr>
          <w:color w:val="000000"/>
          <w:sz w:val="26"/>
        </w:rPr>
        <w:t>Acknowledge Variation</w:t>
      </w:r>
    </w:p>
    <w:p>
      <w:r>
        <w:rPr>
          <w:b w:val="0"/>
          <w:i w:val="0"/>
          <w:sz w:val="22"/>
        </w:rPr>
        <w:t>Many cultural practices vary by region, community, family, or generation. Where significant variation exists, acknowledge it rather than presenting one version as definitive.</w:t>
      </w:r>
    </w:p>
    <w:p>
      <w:pPr>
        <w:pStyle w:val="Heading2"/>
        <w:jc w:val="left"/>
      </w:pPr>
      <w:r>
        <w:rPr>
          <w:color w:val="000000"/>
          <w:sz w:val="26"/>
        </w:rPr>
        <w:t>Scripts and Symbol Systems</w:t>
      </w:r>
    </w:p>
    <w:p>
      <w:r>
        <w:rPr>
          <w:b w:val="0"/>
          <w:i w:val="0"/>
          <w:sz w:val="22"/>
        </w:rPr>
        <w:t>Content involving writing systems, scripts, or symbol systems (such as Ge'ez or Adinkra) must be reviewed by someone with recognized knowledge of the system. Rendering errors in script content are particularly harmful.</w:t>
      </w:r>
    </w:p>
    <w:p>
      <w:pPr>
        <w:pStyle w:val="Heading1"/>
        <w:jc w:val="left"/>
      </w:pPr>
      <w:r>
        <w:rPr>
          <w:color w:val="000000"/>
          <w:sz w:val="32"/>
        </w:rPr>
        <w:t>Proverb Standards</w:t>
      </w:r>
    </w:p>
    <w:p>
      <w:r>
        <w:rPr>
          <w:b w:val="0"/>
          <w:i w:val="0"/>
          <w:sz w:val="22"/>
        </w:rPr>
        <w:t>Proverbs hold a distinct place in many African languages — they are not decorative. They are how wisdom is transmitted, how social norms are communicated, how elders address the young. They must be handled with corresponding care.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Field</w:t>
            </w:r>
          </w:p>
        </w:tc>
        <w:tc>
          <w:tcPr>
            <w:tcW w:type="dxa" w:w="2880"/>
          </w:tcPr>
          <w:p>
            <w:r>
              <w:rPr>
                <w:b/>
                <w:sz w:val="20"/>
              </w:rPr>
              <w:t>Required</w:t>
            </w:r>
          </w:p>
        </w:tc>
        <w:tc>
          <w:tcPr>
            <w:tcW w:type="dxa" w:w="2880"/>
          </w:tcPr>
          <w:p>
            <w:r>
              <w:rPr>
                <w:b/>
                <w:sz w:val="20"/>
              </w:rPr>
              <w:t>Notes</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rPr>
                <w:sz w:val="20"/>
              </w:rPr>
              <w:t>Proverb in original language</w:t>
            </w:r>
          </w:p>
        </w:tc>
        <w:tc>
          <w:tcPr>
            <w:tcW w:type="dxa" w:w="2880"/>
          </w:tcPr>
          <w:p>
            <w:r>
              <w:rPr>
                <w:sz w:val="20"/>
              </w:rPr>
              <w:t>Yes</w:t>
            </w:r>
          </w:p>
        </w:tc>
        <w:tc>
          <w:tcPr>
            <w:tcW w:type="dxa" w:w="2880"/>
          </w:tcPr>
          <w:p>
            <w:r>
              <w:rPr>
                <w:sz w:val="20"/>
              </w:rPr>
              <w:t>Correct spelling with diacritics</w:t>
            </w:r>
          </w:p>
        </w:tc>
      </w:tr>
      <w:tr>
        <w:tc>
          <w:tcPr>
            <w:tcW w:type="dxa" w:w="2880"/>
          </w:tcPr>
          <w:p>
            <w:r>
              <w:rPr>
                <w:sz w:val="20"/>
              </w:rPr>
              <w:t>Audio recording</w:t>
            </w:r>
          </w:p>
        </w:tc>
        <w:tc>
          <w:tcPr>
            <w:tcW w:type="dxa" w:w="2880"/>
          </w:tcPr>
          <w:p>
            <w:r>
              <w:rPr>
                <w:sz w:val="20"/>
              </w:rPr>
              <w:t>Yes</w:t>
            </w:r>
          </w:p>
        </w:tc>
        <w:tc>
          <w:tcPr>
            <w:tcW w:type="dxa" w:w="2880"/>
          </w:tcPr>
          <w:p>
            <w:r>
              <w:rPr>
                <w:sz w:val="20"/>
              </w:rPr>
              <w:t>Native speaker at natural pace</w:t>
            </w:r>
          </w:p>
        </w:tc>
      </w:tr>
      <w:tr>
        <w:tc>
          <w:tcPr>
            <w:tcW w:type="dxa" w:w="2880"/>
          </w:tcPr>
          <w:p>
            <w:r>
              <w:rPr>
                <w:sz w:val="20"/>
              </w:rPr>
              <w:t>Literal translation</w:t>
            </w:r>
          </w:p>
        </w:tc>
        <w:tc>
          <w:tcPr>
            <w:tcW w:type="dxa" w:w="2880"/>
          </w:tcPr>
          <w:p>
            <w:r>
              <w:rPr>
                <w:sz w:val="20"/>
              </w:rPr>
              <w:t>Yes</w:t>
            </w:r>
          </w:p>
        </w:tc>
        <w:tc>
          <w:tcPr>
            <w:tcW w:type="dxa" w:w="2880"/>
          </w:tcPr>
          <w:p>
            <w:r>
              <w:rPr>
                <w:sz w:val="20"/>
              </w:rPr>
              <w:t>Word-for-word, even if awkward in English</w:t>
            </w:r>
          </w:p>
        </w:tc>
      </w:tr>
      <w:tr>
        <w:tc>
          <w:tcPr>
            <w:tcW w:type="dxa" w:w="2880"/>
          </w:tcPr>
          <w:p>
            <w:r>
              <w:rPr>
                <w:sz w:val="20"/>
              </w:rPr>
              <w:t>Contextual meaning</w:t>
            </w:r>
          </w:p>
        </w:tc>
        <w:tc>
          <w:tcPr>
            <w:tcW w:type="dxa" w:w="2880"/>
          </w:tcPr>
          <w:p>
            <w:r>
              <w:rPr>
                <w:sz w:val="20"/>
              </w:rPr>
              <w:t>Yes</w:t>
            </w:r>
          </w:p>
        </w:tc>
        <w:tc>
          <w:tcPr>
            <w:tcW w:type="dxa" w:w="2880"/>
          </w:tcPr>
          <w:p>
            <w:r>
              <w:rPr>
                <w:sz w:val="20"/>
              </w:rPr>
              <w:t>What the proverb actually communicates</w:t>
            </w:r>
          </w:p>
        </w:tc>
      </w:tr>
      <w:tr>
        <w:tc>
          <w:tcPr>
            <w:tcW w:type="dxa" w:w="2880"/>
          </w:tcPr>
          <w:p>
            <w:r>
              <w:rPr>
                <w:sz w:val="20"/>
              </w:rPr>
              <w:t>Usage context</w:t>
            </w:r>
          </w:p>
        </w:tc>
        <w:tc>
          <w:tcPr>
            <w:tcW w:type="dxa" w:w="2880"/>
          </w:tcPr>
          <w:p>
            <w:r>
              <w:rPr>
                <w:sz w:val="20"/>
              </w:rPr>
              <w:t>Yes</w:t>
            </w:r>
          </w:p>
        </w:tc>
        <w:tc>
          <w:tcPr>
            <w:tcW w:type="dxa" w:w="2880"/>
          </w:tcPr>
          <w:p>
            <w:r>
              <w:rPr>
                <w:sz w:val="20"/>
              </w:rPr>
              <w:t>When it is used, by whom, in what situations</w:t>
            </w:r>
          </w:p>
        </w:tc>
      </w:tr>
      <w:tr>
        <w:tc>
          <w:tcPr>
            <w:tcW w:type="dxa" w:w="2880"/>
          </w:tcPr>
          <w:p>
            <w:r>
              <w:rPr>
                <w:sz w:val="20"/>
              </w:rPr>
              <w:t>Cultural presuppositions</w:t>
            </w:r>
          </w:p>
        </w:tc>
        <w:tc>
          <w:tcPr>
            <w:tcW w:type="dxa" w:w="2880"/>
          </w:tcPr>
          <w:p>
            <w:r>
              <w:rPr>
                <w:sz w:val="20"/>
              </w:rPr>
              <w:t>If applicable</w:t>
            </w:r>
          </w:p>
        </w:tc>
        <w:tc>
          <w:tcPr>
            <w:tcW w:type="dxa" w:w="2880"/>
          </w:tcPr>
          <w:p>
            <w:r>
              <w:rPr>
                <w:sz w:val="20"/>
              </w:rPr>
              <w:t>What knowledge the listener must have to understand it</w:t>
            </w:r>
          </w:p>
        </w:tc>
      </w:tr>
      <w:tr>
        <w:tc>
          <w:tcPr>
            <w:tcW w:type="dxa" w:w="2880"/>
          </w:tcPr>
          <w:p>
            <w:r>
              <w:rPr>
                <w:sz w:val="20"/>
              </w:rPr>
              <w:t>Regional or community attribution</w:t>
            </w:r>
          </w:p>
        </w:tc>
        <w:tc>
          <w:tcPr>
            <w:tcW w:type="dxa" w:w="2880"/>
          </w:tcPr>
          <w:p>
            <w:r>
              <w:rPr>
                <w:sz w:val="20"/>
              </w:rPr>
              <w:t>If applicable</w:t>
            </w:r>
          </w:p>
        </w:tc>
        <w:tc>
          <w:tcPr>
            <w:tcW w:type="dxa" w:w="2880"/>
          </w:tcPr>
          <w:p>
            <w:r>
              <w:rPr>
                <w:sz w:val="20"/>
              </w:rPr>
              <w:t>If the proverb is specific to a region or community</w:t>
            </w:r>
          </w:p>
        </w:tc>
      </w:tr>
    </w:tbl>
    <w:p/>
    <w:p>
      <w:pPr>
        <w:pStyle w:val="Heading1"/>
        <w:jc w:val="left"/>
      </w:pPr>
      <w:r>
        <w:rPr>
          <w:color w:val="000000"/>
          <w:sz w:val="32"/>
        </w:rPr>
        <w:t>Orthography and Spelling</w:t>
      </w:r>
    </w:p>
    <w:p>
      <w:r>
        <w:rPr>
          <w:b w:val="0"/>
          <w:i w:val="0"/>
          <w:sz w:val="22"/>
        </w:rPr>
        <w:t>Many of the languages on Aurufie do not have fully standardized orthographies. This creates a specific challenge: inconsistent spelling across content undermines learner confidence and creates confusion.</w:t>
      </w:r>
    </w:p>
    <w:p>
      <w:pPr>
        <w:pStyle w:val="Heading2"/>
        <w:jc w:val="left"/>
      </w:pPr>
      <w:r>
        <w:rPr>
          <w:color w:val="000000"/>
          <w:sz w:val="26"/>
        </w:rPr>
        <w:t>Follow Established Standards Where They Exist</w:t>
      </w:r>
    </w:p>
    <w:p>
      <w:r>
        <w:rPr>
          <w:b w:val="0"/>
          <w:i w:val="0"/>
          <w:sz w:val="22"/>
        </w:rPr>
        <w:t>Where a language has an established or emerging orthographic standard, follow it. Document which standard you are following.</w:t>
      </w:r>
    </w:p>
    <w:p>
      <w:pPr>
        <w:pStyle w:val="Heading2"/>
        <w:jc w:val="left"/>
      </w:pPr>
      <w:r>
        <w:rPr>
          <w:color w:val="000000"/>
          <w:sz w:val="26"/>
        </w:rPr>
        <w:t>Be Internally Consistent</w:t>
      </w:r>
    </w:p>
    <w:p>
      <w:r>
        <w:rPr>
          <w:b w:val="0"/>
          <w:i w:val="0"/>
          <w:sz w:val="22"/>
        </w:rPr>
        <w:t>If a standardized orthography does not exist, establish consistency within the content you create. The same word should always be spelled the same way across all your content.</w:t>
      </w:r>
    </w:p>
    <w:p>
      <w:pPr>
        <w:pStyle w:val="Heading2"/>
        <w:jc w:val="left"/>
      </w:pPr>
      <w:r>
        <w:rPr>
          <w:color w:val="000000"/>
          <w:sz w:val="26"/>
        </w:rPr>
        <w:t>Use Diacritics Correctly</w:t>
      </w:r>
    </w:p>
    <w:p>
      <w:r>
        <w:rPr>
          <w:b w:val="0"/>
          <w:i w:val="0"/>
          <w:sz w:val="22"/>
        </w:rPr>
        <w:t>Tonal markers, vowel distinctions, and other diacritics are not decorative. They are functionally meaningful. Do not omit them for convenience.</w:t>
      </w:r>
    </w:p>
    <w:p>
      <w:pPr>
        <w:pStyle w:val="Heading2"/>
        <w:jc w:val="left"/>
      </w:pPr>
      <w:r>
        <w:rPr>
          <w:color w:val="000000"/>
          <w:sz w:val="26"/>
        </w:rPr>
        <w:t>Document Decisions</w:t>
      </w:r>
    </w:p>
    <w:p>
      <w:r>
        <w:rPr>
          <w:b w:val="0"/>
          <w:i w:val="0"/>
          <w:sz w:val="22"/>
        </w:rPr>
        <w:t>If you make orthographic decisions that deviate from common usage, document your reasoning so reviewers and future contributors understand the choices made.</w:t>
      </w:r>
    </w:p>
    <w:p>
      <w:pPr>
        <w:pStyle w:val="Heading1"/>
        <w:jc w:val="left"/>
      </w:pPr>
      <w:r>
        <w:rPr>
          <w:color w:val="000000"/>
          <w:sz w:val="32"/>
        </w:rPr>
        <w:t>Review Process</w:t>
      </w:r>
    </w:p>
    <w:p>
      <w:r>
        <w:rPr>
          <w:b w:val="0"/>
          <w:i w:val="0"/>
          <w:sz w:val="22"/>
        </w:rPr>
        <w:t>All content submitted to Aurufie goes through a review process before publication. The purpose of review is not gatekeeping — it is quality assurance in service of the languages and communities the platform represents.</w:t>
      </w:r>
    </w:p>
    <w:p>
      <w:r>
        <w:rPr>
          <w:b w:val="0"/>
          <w:i w:val="0"/>
          <w:sz w:val="22"/>
        </w:rPr>
        <w:t>Reviewers assess submissions against these standards. Contributors may receive feedback requesting corrections, additions, or clarification. Feedback should be understood as part of the collaborative process, not as rejection.</w:t>
      </w:r>
    </w:p>
    <w:p>
      <w:r>
        <w:rPr>
          <w:b w:val="0"/>
          <w:i w:val="0"/>
          <w:sz w:val="22"/>
        </w:rPr>
        <w:t>Content may be:</w:t>
      </w:r>
    </w:p>
    <w:p>
      <w:pPr>
        <w:pStyle w:val="ListBullet"/>
      </w:pPr>
      <w:r>
        <w:rPr>
          <w:sz w:val="22"/>
        </w:rPr>
        <w:t>Approved — published as submitted</w:t>
      </w:r>
    </w:p>
    <w:p>
      <w:pPr>
        <w:pStyle w:val="ListBullet"/>
      </w:pPr>
      <w:r>
        <w:rPr>
          <w:sz w:val="22"/>
        </w:rPr>
        <w:t>Approved with edits — minor corrections made by reviewer before publication</w:t>
      </w:r>
    </w:p>
    <w:p>
      <w:pPr>
        <w:pStyle w:val="ListBullet"/>
      </w:pPr>
      <w:r>
        <w:rPr>
          <w:sz w:val="22"/>
        </w:rPr>
        <w:t>Returned for revision — contributor asked to address specific issues</w:t>
      </w:r>
    </w:p>
    <w:p>
      <w:pPr>
        <w:pStyle w:val="ListBullet"/>
      </w:pPr>
      <w:r>
        <w:rPr>
          <w:sz w:val="22"/>
        </w:rPr>
        <w:t>Rejected — content that cannot be corrected and does not meet standards</w:t>
      </w:r>
    </w:p>
    <w:p>
      <w:r>
        <w:rPr>
          <w:b w:val="0"/>
          <w:i w:val="0"/>
          <w:sz w:val="22"/>
        </w:rPr>
        <w:t>Reviewers are expected to provide clear, specific, and respectful feedback. The goal is always to improve the content and support the contributor.</w:t>
      </w:r>
    </w:p>
    <w:p>
      <w:pPr>
        <w:pStyle w:val="Heading1"/>
        <w:jc w:val="left"/>
      </w:pPr>
      <w:r>
        <w:rPr>
          <w:color w:val="000000"/>
          <w:sz w:val="32"/>
        </w:rPr>
        <w:t>Maintaining Published Content</w:t>
      </w:r>
    </w:p>
    <w:p>
      <w:r>
        <w:rPr>
          <w:b w:val="0"/>
          <w:i w:val="0"/>
          <w:sz w:val="22"/>
        </w:rPr>
        <w:t>Content does not become permanent simply because it is published. Languages evolve. Communities' relationships to their own cultural knowledge shift. Errors are sometimes discovered after publication.</w:t>
      </w:r>
    </w:p>
    <w:p>
      <w:r>
        <w:rPr>
          <w:b w:val="0"/>
          <w:i w:val="0"/>
          <w:sz w:val="22"/>
        </w:rPr>
        <w:t>Educators and contributors are encouraged to flag published content that contains errors or has become outdated. The platform supports ongoing revision and improvement of all content.</w:t>
      </w:r>
    </w:p>
    <w:p>
      <w:pPr>
        <w:pStyle w:val="Heading1"/>
        <w:jc w:val="left"/>
      </w:pPr>
      <w:r>
        <w:rPr>
          <w:color w:val="000000"/>
          <w:sz w:val="32"/>
        </w:rPr>
        <w:t>A Note on Responsibility</w:t>
      </w:r>
    </w:p>
    <w:p>
      <w:r>
        <w:rPr>
          <w:b w:val="0"/>
          <w:i w:val="0"/>
          <w:sz w:val="22"/>
        </w:rPr>
        <w:t>The languages and cultures represented on Aurufie belong to their communities. Educators and contributors are stewards — not owners — of the knowledge they help document and teach.</w:t>
      </w:r>
    </w:p>
    <w:p>
      <w:r>
        <w:rPr>
          <w:b w:val="0"/>
          <w:i w:val="0"/>
          <w:sz w:val="22"/>
        </w:rPr>
        <w:t>Treat that responsibility seriously.</w:t>
      </w:r>
    </w:p>
    <w:p>
      <w:r>
        <w:rPr>
          <w:b w:val="0"/>
          <w:i w:val="0"/>
          <w:sz w:val="22"/>
        </w:rPr>
        <w:t>A learner who encounters your content may be reconnecting with a language they have not heard since childhood. A diaspora family may use your materials to teach their children. A researcher may rely on your recordings as documentation. The stakes are real, and the work you do here matters beyond the platform.</w:t>
      </w:r>
    </w:p>
    <w:p/>
    <w:p>
      <w:r>
        <w:rPr>
          <w:i/>
          <w:color w:val="646464"/>
          <w:sz w:val="20"/>
        </w:rPr>
        <w:t>Questions about these standards? Contact the Aurufie team: [contact email]</w:t>
      </w:r>
    </w:p>
    <w:p>
      <w:r>
        <w:rPr>
          <w:i/>
          <w:color w:val="646464"/>
          <w:sz w:val="20"/>
        </w:rPr>
        <w:t>This document is updated as the platform grows. Check for the latest version before beginning a major content project.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