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Aurufie</w:t>
      </w:r>
    </w:p>
    <w:p>
      <w:pPr>
        <w:jc w:val="center"/>
      </w:pPr>
      <w:r>
        <w:rPr>
          <w:color w:val="505050"/>
          <w:sz w:val="28"/>
        </w:rPr>
        <w:t>Canonical Project File</w:t>
      </w:r>
    </w:p>
    <w:p>
      <w:pPr>
        <w:jc w:val="center"/>
      </w:pPr>
      <w:r>
        <w:rPr>
          <w:i/>
          <w:color w:val="787878"/>
          <w:sz w:val="22"/>
        </w:rPr>
        <w:t>Version 1.4</w:t>
      </w:r>
    </w:p>
    <w:p>
      <w:r>
        <w:br w:type="page"/>
      </w:r>
    </w:p>
    <w:p>
      <w:pPr>
        <w:pStyle w:val="Heading1"/>
        <w:jc w:val="left"/>
      </w:pPr>
      <w:r>
        <w:rPr>
          <w:color w:val="000000"/>
          <w:sz w:val="32"/>
        </w:rPr>
        <w:t>Introduction</w:t>
      </w:r>
    </w:p>
    <w:p>
      <w:r>
        <w:rPr>
          <w:b w:val="0"/>
          <w:i w:val="0"/>
          <w:sz w:val="22"/>
        </w:rPr>
        <w:t>Languages carry more than words.</w:t>
      </w:r>
    </w:p>
    <w:p>
      <w:r>
        <w:rPr>
          <w:b w:val="0"/>
          <w:i w:val="0"/>
          <w:sz w:val="22"/>
        </w:rPr>
        <w:t>They carry histories, worldviews, values, humor, memory, identity, and ways of understanding the world. They preserve knowledge accumulated across generations and connect people to their families, communities, and cultures.</w:t>
      </w:r>
    </w:p>
    <w:p>
      <w:r>
        <w:rPr>
          <w:b w:val="0"/>
          <w:i w:val="0"/>
          <w:sz w:val="22"/>
        </w:rPr>
        <w:t>Yet many of the world's languages remain underrepresented in the digital age. While significant technological investment has been directed toward a relatively small number of globally dominant languages, thousands of languages continue to lack modern learning tools, digital archives, structured educational resources, and online communities. For many languages, especially across Africa and other historically underserved regions, the challenge is not a lack of speakers or cultural significance. The challenge is a lack of accessible infrastructure.</w:t>
      </w:r>
    </w:p>
    <w:p>
      <w:r>
        <w:rPr>
          <w:b w:val="0"/>
          <w:i w:val="0"/>
          <w:sz w:val="22"/>
        </w:rPr>
        <w:t>The consequences are far-reaching. Heritage learners struggle to reconnect with ancestral languages. Diaspora communities lose opportunities to pass knowledge to younger generations. Valuable linguistic and cultural information remains scattered across books, recordings, research papers, personal collections, and the memories of elders.</w:t>
      </w:r>
    </w:p>
    <w:p>
      <w:r>
        <w:rPr>
          <w:b w:val="0"/>
          <w:i w:val="0"/>
          <w:sz w:val="22"/>
        </w:rPr>
        <w:t>Aurufie is a community-driven language and cultural learning platform dedicated to preserving, teaching, documenting, and celebrating underrepresented languages. The platform is delivered through Beeli — a mobile and web application available on iOS, Android, and web.</w:t>
      </w:r>
    </w:p>
    <w:p>
      <w:r>
        <w:rPr>
          <w:b/>
          <w:sz w:val="24"/>
        </w:rPr>
        <w:t>Language cannot be separated from the people who speak it.</w:t>
      </w:r>
    </w:p>
    <w:p/>
    <w:p>
      <w:r>
        <w:rPr>
          <w:i/>
          <w:color w:val="646464"/>
          <w:sz w:val="20"/>
        </w:rPr>
        <w:t>This document is the canonical overview of the Aurufie project, intended for educators, partners, contributors, and collaborators. Companion documents — the Educator Guide and Content Standards — provide detailed operational guidance.</w:t>
      </w:r>
    </w:p>
    <w:p>
      <w:pPr>
        <w:pStyle w:val="Heading1"/>
        <w:jc w:val="left"/>
      </w:pPr>
      <w:r>
        <w:rPr>
          <w:color w:val="000000"/>
          <w:sz w:val="32"/>
        </w:rPr>
        <w:t>The Problem</w:t>
      </w:r>
    </w:p>
    <w:p>
      <w:r>
        <w:rPr>
          <w:b w:val="0"/>
          <w:i w:val="0"/>
          <w:sz w:val="22"/>
        </w:rPr>
        <w:t>For African, Indigenous, minority, and heritage languages, learners often encounter:</w:t>
      </w:r>
    </w:p>
    <w:p>
      <w:pPr>
        <w:pStyle w:val="ListBullet"/>
      </w:pPr>
      <w:r>
        <w:rPr>
          <w:sz w:val="22"/>
        </w:rPr>
        <w:t>Limited educational resources</w:t>
      </w:r>
    </w:p>
    <w:p>
      <w:pPr>
        <w:pStyle w:val="ListBullet"/>
      </w:pPr>
      <w:r>
        <w:rPr>
          <w:sz w:val="22"/>
        </w:rPr>
        <w:t>Fragmented documentation</w:t>
      </w:r>
    </w:p>
    <w:p>
      <w:pPr>
        <w:pStyle w:val="ListBullet"/>
      </w:pPr>
      <w:r>
        <w:rPr>
          <w:sz w:val="22"/>
        </w:rPr>
        <w:t>Inconsistent orthographies</w:t>
      </w:r>
    </w:p>
    <w:p>
      <w:pPr>
        <w:pStyle w:val="ListBullet"/>
      </w:pPr>
      <w:r>
        <w:rPr>
          <w:sz w:val="22"/>
        </w:rPr>
        <w:t>Few high-quality audio recordings</w:t>
      </w:r>
    </w:p>
    <w:p>
      <w:pPr>
        <w:pStyle w:val="ListBullet"/>
      </w:pPr>
      <w:r>
        <w:rPr>
          <w:sz w:val="22"/>
        </w:rPr>
        <w:t>Limited access to native speakers</w:t>
      </w:r>
    </w:p>
    <w:p>
      <w:pPr>
        <w:pStyle w:val="ListBullet"/>
      </w:pPr>
      <w:r>
        <w:rPr>
          <w:sz w:val="22"/>
        </w:rPr>
        <w:t>Little or no representation on major learning platforms</w:t>
      </w:r>
    </w:p>
    <w:p>
      <w:pPr>
        <w:pStyle w:val="ListBullet"/>
      </w:pPr>
      <w:r>
        <w:rPr>
          <w:sz w:val="22"/>
        </w:rPr>
        <w:t>Insufficient opportunities for structured practice</w:t>
      </w:r>
    </w:p>
    <w:p>
      <w:r>
        <w:rPr>
          <w:b w:val="0"/>
          <w:i w:val="0"/>
          <w:sz w:val="22"/>
        </w:rPr>
        <w:t>The result is a growing disconnect between communities and their linguistic heritage. Aurufie exists to provide infrastructure where it does not currently exist.</w:t>
      </w:r>
    </w:p>
    <w:p>
      <w:pPr>
        <w:pStyle w:val="Heading1"/>
        <w:jc w:val="left"/>
      </w:pPr>
      <w:r>
        <w:rPr>
          <w:color w:val="000000"/>
          <w:sz w:val="32"/>
        </w:rPr>
        <w:t>Mission</w:t>
      </w:r>
    </w:p>
    <w:p>
      <w:r>
        <w:rPr>
          <w:b w:val="0"/>
          <w:i w:val="0"/>
          <w:sz w:val="22"/>
        </w:rPr>
        <w:t>To reconnect people with their languages and cultures through accessible, community-driven learning experiences that preserve knowledge and support meaningful language use.</w:t>
      </w:r>
    </w:p>
    <w:p>
      <w:pPr>
        <w:pStyle w:val="Heading1"/>
        <w:jc w:val="left"/>
      </w:pPr>
      <w:r>
        <w:rPr>
          <w:color w:val="000000"/>
          <w:sz w:val="32"/>
        </w:rPr>
        <w:t>Vision</w:t>
      </w:r>
    </w:p>
    <w:p>
      <w:r>
        <w:rPr>
          <w:b w:val="0"/>
          <w:i w:val="0"/>
          <w:sz w:val="22"/>
        </w:rPr>
        <w:t>Aurufie envisions a future where every language, regardless of the size of its speaker population, can thrive in the digital world — where communities can document, teach, preserve, and celebrate their languages using tools designed specifically for their needs.</w:t>
      </w:r>
    </w:p>
    <w:p>
      <w:r>
        <w:rPr>
          <w:b w:val="0"/>
          <w:i w:val="0"/>
          <w:sz w:val="22"/>
        </w:rPr>
        <w:t>Success is measured by:</w:t>
      </w:r>
    </w:p>
    <w:p>
      <w:pPr>
        <w:pStyle w:val="ListBullet"/>
      </w:pPr>
      <w:r>
        <w:rPr>
          <w:sz w:val="22"/>
        </w:rPr>
        <w:t>Languages documented</w:t>
      </w:r>
    </w:p>
    <w:p>
      <w:pPr>
        <w:pStyle w:val="ListBullet"/>
      </w:pPr>
      <w:r>
        <w:rPr>
          <w:sz w:val="22"/>
        </w:rPr>
        <w:t>Stories preserved</w:t>
      </w:r>
    </w:p>
    <w:p>
      <w:pPr>
        <w:pStyle w:val="ListBullet"/>
      </w:pPr>
      <w:r>
        <w:rPr>
          <w:sz w:val="22"/>
        </w:rPr>
        <w:t>Audio recorded</w:t>
      </w:r>
    </w:p>
    <w:p>
      <w:pPr>
        <w:pStyle w:val="ListBullet"/>
      </w:pPr>
      <w:r>
        <w:rPr>
          <w:sz w:val="22"/>
        </w:rPr>
        <w:t>Educators empowered</w:t>
      </w:r>
    </w:p>
    <w:p>
      <w:pPr>
        <w:pStyle w:val="ListBullet"/>
      </w:pPr>
      <w:r>
        <w:rPr>
          <w:sz w:val="22"/>
        </w:rPr>
        <w:t>Learners reconnected</w:t>
      </w:r>
    </w:p>
    <w:p>
      <w:pPr>
        <w:pStyle w:val="ListBullet"/>
      </w:pPr>
      <w:r>
        <w:rPr>
          <w:sz w:val="22"/>
        </w:rPr>
        <w:t>Communities strengthened</w:t>
      </w:r>
    </w:p>
    <w:p>
      <w:pPr>
        <w:pStyle w:val="ListBullet"/>
      </w:pPr>
      <w:r>
        <w:rPr>
          <w:sz w:val="22"/>
        </w:rPr>
        <w:t>Knowledge passed to future generations</w:t>
      </w:r>
    </w:p>
    <w:p>
      <w:r>
        <w:rPr>
          <w:b w:val="0"/>
          <w:i w:val="0"/>
          <w:sz w:val="22"/>
        </w:rPr>
        <w:t>Languages do not disappear simply because fewer people speak them. They disappear when opportunities to learn, teach, document, and transmit them disappear. Aurufie exists to create those opportunities.</w:t>
      </w:r>
    </w:p>
    <w:p>
      <w:pPr>
        <w:pStyle w:val="Heading1"/>
        <w:jc w:val="left"/>
      </w:pPr>
      <w:r>
        <w:rPr>
          <w:color w:val="000000"/>
          <w:sz w:val="32"/>
        </w:rPr>
        <w:t>Core Principles</w:t>
      </w:r>
    </w:p>
    <w:p>
      <w:pPr>
        <w:pStyle w:val="Heading2"/>
        <w:jc w:val="left"/>
      </w:pPr>
      <w:r>
        <w:rPr>
          <w:color w:val="000000"/>
          <w:sz w:val="26"/>
        </w:rPr>
        <w:t>Language Is Sound Before Text</w:t>
      </w:r>
    </w:p>
    <w:p>
      <w:r>
        <w:rPr>
          <w:b w:val="0"/>
          <w:i w:val="0"/>
          <w:sz w:val="22"/>
        </w:rPr>
        <w:t>Human beings learn language through listening and speaking before reading and writing.</w:t>
      </w:r>
    </w:p>
    <w:p>
      <w:r>
        <w:rPr>
          <w:b w:val="0"/>
          <w:i w:val="0"/>
          <w:sz w:val="22"/>
        </w:rPr>
        <w:t>Aurufie prioritizes authentic audio, pronunciation, listening comprehension, and spoken communication. Learners encounter spoken language from their very first session — not as a reward unlocked after grammar drills, but as the foundation of instruction.</w:t>
      </w:r>
    </w:p>
    <w:p>
      <w:pPr>
        <w:pStyle w:val="Heading2"/>
        <w:jc w:val="left"/>
      </w:pPr>
      <w:r>
        <w:rPr>
          <w:color w:val="000000"/>
          <w:sz w:val="26"/>
        </w:rPr>
        <w:t>Culture and Language Are Inseparable</w:t>
      </w:r>
    </w:p>
    <w:p>
      <w:r>
        <w:rPr>
          <w:b w:val="0"/>
          <w:i w:val="0"/>
          <w:sz w:val="22"/>
        </w:rPr>
        <w:t>Language exists within stories, customs, ceremonies, humor, food, music, history, and daily life.</w:t>
      </w:r>
    </w:p>
    <w:p>
      <w:r>
        <w:rPr>
          <w:b w:val="0"/>
          <w:i w:val="0"/>
          <w:sz w:val="22"/>
        </w:rPr>
        <w:t>Every language course on Aurufie reflects the cultural context from which the language emerges. Teaching vocabulary without cultural grounding produces memorization, not fluency.</w:t>
      </w:r>
    </w:p>
    <w:p>
      <w:pPr>
        <w:pStyle w:val="Heading2"/>
        <w:jc w:val="left"/>
      </w:pPr>
      <w:r>
        <w:rPr>
          <w:color w:val="000000"/>
          <w:sz w:val="26"/>
        </w:rPr>
        <w:t>Communities Are the Experts</w:t>
      </w:r>
    </w:p>
    <w:p>
      <w:r>
        <w:rPr>
          <w:b w:val="0"/>
          <w:i w:val="0"/>
          <w:sz w:val="22"/>
        </w:rPr>
        <w:t>Native speakers, educators, elders, and cultural practitioners possess knowledge that cannot be replaced by technology alone.</w:t>
      </w:r>
    </w:p>
    <w:p>
      <w:r>
        <w:rPr>
          <w:b w:val="0"/>
          <w:i w:val="0"/>
          <w:sz w:val="22"/>
        </w:rPr>
        <w:t>Aurufie is designed to amplify community expertise rather than replace it. The platform provides infrastructure; communities provide substance.</w:t>
      </w:r>
    </w:p>
    <w:p>
      <w:pPr>
        <w:pStyle w:val="Heading2"/>
        <w:jc w:val="left"/>
      </w:pPr>
      <w:r>
        <w:rPr>
          <w:color w:val="000000"/>
          <w:sz w:val="26"/>
        </w:rPr>
        <w:t>Preservation Requires Participation</w:t>
      </w:r>
    </w:p>
    <w:p>
      <w:r>
        <w:rPr>
          <w:b w:val="0"/>
          <w:i w:val="0"/>
          <w:sz w:val="22"/>
        </w:rPr>
        <w:t>Languages remain alive when people use them.</w:t>
      </w:r>
    </w:p>
    <w:p>
      <w:r>
        <w:rPr>
          <w:b w:val="0"/>
          <w:i w:val="0"/>
          <w:sz w:val="22"/>
        </w:rPr>
        <w:t>Every lesson completed, recording submitted, and contribution reviewed strengthens the broader language ecosystem. Passive documentation is not enough — active use is what keeps a language living.</w:t>
      </w:r>
    </w:p>
    <w:p>
      <w:pPr>
        <w:pStyle w:val="Heading2"/>
        <w:jc w:val="left"/>
      </w:pPr>
      <w:r>
        <w:rPr>
          <w:color w:val="000000"/>
          <w:sz w:val="26"/>
        </w:rPr>
        <w:t>Accessibility Matters</w:t>
      </w:r>
    </w:p>
    <w:p>
      <w:r>
        <w:rPr>
          <w:b w:val="0"/>
          <w:i w:val="0"/>
          <w:sz w:val="22"/>
        </w:rPr>
        <w:t>Language learning should be available regardless of geography, educational background, or institutional affiliation.</w:t>
      </w:r>
    </w:p>
    <w:p>
      <w:r>
        <w:rPr>
          <w:b w:val="0"/>
          <w:i w:val="0"/>
          <w:sz w:val="22"/>
        </w:rPr>
        <w:t>Aurufie seeks to make learning resources accessible to anyone with an internet connection.</w:t>
      </w:r>
    </w:p>
    <w:p>
      <w:pPr>
        <w:pStyle w:val="Heading2"/>
        <w:jc w:val="left"/>
      </w:pPr>
      <w:r>
        <w:rPr>
          <w:color w:val="000000"/>
          <w:sz w:val="26"/>
        </w:rPr>
        <w:t>Quality Matters</w:t>
      </w:r>
    </w:p>
    <w:p>
      <w:r>
        <w:rPr>
          <w:b w:val="0"/>
          <w:i w:val="0"/>
          <w:sz w:val="22"/>
        </w:rPr>
        <w:t>Cultural preservation requires care, accuracy, and accountability.</w:t>
      </w:r>
    </w:p>
    <w:p>
      <w:r>
        <w:rPr>
          <w:b w:val="0"/>
          <w:i w:val="0"/>
          <w:sz w:val="22"/>
        </w:rPr>
        <w:t>All published content is reviewed and maintained according to documented quality standards. Detailed guidance is in the companion Content Standards document.</w:t>
      </w:r>
    </w:p>
    <w:p>
      <w:pPr>
        <w:pStyle w:val="Heading1"/>
        <w:jc w:val="left"/>
      </w:pPr>
      <w:r>
        <w:rPr>
          <w:color w:val="000000"/>
          <w:sz w:val="32"/>
        </w:rPr>
        <w:t>What Aurufie Is</w:t>
      </w:r>
    </w:p>
    <w:p>
      <w:r>
        <w:rPr>
          <w:b w:val="0"/>
          <w:i w:val="0"/>
          <w:sz w:val="22"/>
        </w:rPr>
        <w:t>Aurufie brings together several interconnected systems in a single platform. Each layer supports the others — the dictionary feeds the lessons, the lessons feed the archive, the archive feeds the community, and the community feeds everything.</w:t>
      </w:r>
    </w:p>
    <w:p/>
    <w:p>
      <w:r>
        <w:rPr>
          <w:b/>
          <w:sz w:val="22"/>
        </w:rPr>
        <w:t xml:space="preserve">Learning Platform — </w:t>
      </w:r>
      <w:r>
        <w:rPr>
          <w:sz w:val="22"/>
        </w:rPr>
        <w:t>Structured courses, lessons, assessments, and practice activities organized by language, level, and topic.</w:t>
      </w:r>
    </w:p>
    <w:p>
      <w:r>
        <w:rPr>
          <w:b/>
          <w:sz w:val="22"/>
        </w:rPr>
        <w:t xml:space="preserve">Cultural Archive — </w:t>
      </w:r>
      <w:r>
        <w:rPr>
          <w:sz w:val="22"/>
        </w:rPr>
        <w:t>A growing repository of stories, proverbs, cultural knowledge, traditions, symbols, scripts, and historical context contributed and maintained by community members.</w:t>
      </w:r>
    </w:p>
    <w:p>
      <w:r>
        <w:rPr>
          <w:b/>
          <w:sz w:val="22"/>
        </w:rPr>
        <w:t xml:space="preserve">Audio Library — </w:t>
      </w:r>
      <w:r>
        <w:rPr>
          <w:sz w:val="22"/>
        </w:rPr>
        <w:t>Native-speaker recordings that preserve pronunciation, tone, rhythm, and natural speech patterns — the irreplaceable core of any language course.</w:t>
      </w:r>
    </w:p>
    <w:p>
      <w:r>
        <w:rPr>
          <w:b/>
          <w:sz w:val="22"/>
        </w:rPr>
        <w:t xml:space="preserve">Dictionary System — </w:t>
      </w:r>
      <w:r>
        <w:rPr>
          <w:sz w:val="22"/>
        </w:rPr>
        <w:t>Searchable vocabulary resources enriched with examples, audio pronunciation, and contextual information, built and maintained by contributors.</w:t>
      </w:r>
    </w:p>
    <w:p>
      <w:r>
        <w:rPr>
          <w:b/>
          <w:sz w:val="22"/>
        </w:rPr>
        <w:t xml:space="preserve">Community Network — </w:t>
      </w:r>
      <w:r>
        <w:rPr>
          <w:sz w:val="22"/>
        </w:rPr>
        <w:t>A contribution and review system that enables speakers, educators, and learners to participate directly in platform growth.</w:t>
      </w:r>
    </w:p>
    <w:p>
      <w:r>
        <w:rPr>
          <w:b/>
          <w:sz w:val="22"/>
        </w:rPr>
        <w:t xml:space="preserve">Classroom Environment — </w:t>
      </w:r>
      <w:r>
        <w:rPr>
          <w:sz w:val="22"/>
        </w:rPr>
        <w:t>Tools that allow educators and organizations to create groups, assign learning activities, track learner progress, and manage structured programs.</w:t>
      </w:r>
    </w:p>
    <w:p>
      <w:pPr>
        <w:pStyle w:val="Heading1"/>
        <w:jc w:val="left"/>
      </w:pPr>
      <w:r>
        <w:rPr>
          <w:color w:val="000000"/>
          <w:sz w:val="32"/>
        </w:rPr>
        <w:t>Educational Philosophy</w:t>
      </w:r>
    </w:p>
    <w:p>
      <w:r>
        <w:rPr>
          <w:b w:val="0"/>
          <w:i w:val="0"/>
          <w:sz w:val="22"/>
        </w:rPr>
        <w:t>Aurufie's educational model is built around meaningful participation rather than rote memorization. Learners encounter language as it is actually used — in conversation, in story, in song, in daily life — with grammar introduced as a tool that explains what learners are already doing, not as a prerequisite to doing it. Whenever possible, authentic examples come before formal explanations.</w:t>
      </w:r>
    </w:p>
    <w:p>
      <w:pPr>
        <w:pStyle w:val="Heading1"/>
        <w:jc w:val="left"/>
      </w:pPr>
      <w:r>
        <w:rPr>
          <w:color w:val="000000"/>
          <w:sz w:val="32"/>
        </w:rPr>
        <w:t>Content Ecosystem</w:t>
      </w:r>
    </w:p>
    <w:p>
      <w:r>
        <w:rPr>
          <w:b w:val="0"/>
          <w:i w:val="0"/>
          <w:sz w:val="22"/>
        </w:rPr>
        <w:t>Aurufie supports eight forms of educational and cultural content:</w:t>
      </w:r>
    </w:p>
    <w:p>
      <w:pPr>
        <w:pStyle w:val="ListBullet"/>
      </w:pPr>
      <w:r>
        <w:rPr>
          <w:b/>
          <w:sz w:val="22"/>
        </w:rPr>
        <w:t xml:space="preserve">Courses — </w:t>
      </w:r>
      <w:r>
        <w:rPr>
          <w:sz w:val="22"/>
        </w:rPr>
        <w:t>Structured learning pathways organized by level, topic, or objective</w:t>
      </w:r>
    </w:p>
    <w:p>
      <w:pPr>
        <w:pStyle w:val="ListBullet"/>
      </w:pPr>
      <w:r>
        <w:rPr>
          <w:b/>
          <w:sz w:val="22"/>
        </w:rPr>
        <w:t xml:space="preserve">Lessons — </w:t>
      </w:r>
      <w:r>
        <w:rPr>
          <w:sz w:val="22"/>
        </w:rPr>
        <w:t>Individual instructional units containing audio, transcripts, vocabulary, cultural notes, and assessments</w:t>
      </w:r>
    </w:p>
    <w:p>
      <w:pPr>
        <w:pStyle w:val="ListBullet"/>
      </w:pPr>
      <w:r>
        <w:rPr>
          <w:b/>
          <w:sz w:val="22"/>
        </w:rPr>
        <w:t xml:space="preserve">Stories — </w:t>
      </w:r>
      <w:r>
        <w:rPr>
          <w:sz w:val="22"/>
        </w:rPr>
        <w:t>Narrative-driven learning experiences that teach language through context and immersion</w:t>
      </w:r>
    </w:p>
    <w:p>
      <w:pPr>
        <w:pStyle w:val="ListBullet"/>
      </w:pPr>
      <w:r>
        <w:rPr>
          <w:b/>
          <w:sz w:val="22"/>
        </w:rPr>
        <w:t xml:space="preserve">Songs — </w:t>
      </w:r>
      <w:r>
        <w:rPr>
          <w:sz w:val="22"/>
        </w:rPr>
        <w:t>Traditional and contemporary music used as educational content</w:t>
      </w:r>
    </w:p>
    <w:p>
      <w:pPr>
        <w:pStyle w:val="ListBullet"/>
      </w:pPr>
      <w:r>
        <w:rPr>
          <w:b/>
          <w:sz w:val="22"/>
        </w:rPr>
        <w:t xml:space="preserve">Proverbs — </w:t>
      </w:r>
      <w:r>
        <w:rPr>
          <w:sz w:val="22"/>
        </w:rPr>
        <w:t>Expressions that communicate cultural values, wisdom, humor, and social norms</w:t>
      </w:r>
    </w:p>
    <w:p>
      <w:pPr>
        <w:pStyle w:val="ListBullet"/>
      </w:pPr>
      <w:r>
        <w:rPr>
          <w:b/>
          <w:sz w:val="22"/>
        </w:rPr>
        <w:t xml:space="preserve">Dictionary Entries — </w:t>
      </w:r>
      <w:r>
        <w:rPr>
          <w:sz w:val="22"/>
        </w:rPr>
        <w:t>Vocabulary records containing definitions, examples, audio, and contextual usage</w:t>
      </w:r>
    </w:p>
    <w:p>
      <w:pPr>
        <w:pStyle w:val="ListBullet"/>
      </w:pPr>
      <w:r>
        <w:rPr>
          <w:b/>
          <w:sz w:val="22"/>
        </w:rPr>
        <w:t xml:space="preserve">Cultural Knowledge — </w:t>
      </w:r>
      <w:r>
        <w:rPr>
          <w:sz w:val="22"/>
        </w:rPr>
        <w:t>Content documenting traditions, celebrations, symbols, clothing, cuisine, naming practices, beliefs, and social customs</w:t>
      </w:r>
    </w:p>
    <w:p>
      <w:pPr>
        <w:pStyle w:val="ListBullet"/>
      </w:pPr>
      <w:r>
        <w:rPr>
          <w:b/>
          <w:sz w:val="22"/>
        </w:rPr>
        <w:t xml:space="preserve">Scripts and Writing Systems — </w:t>
      </w:r>
      <w:r>
        <w:rPr>
          <w:sz w:val="22"/>
        </w:rPr>
        <w:t>Resources supporting language-specific orthographies and writing systems</w:t>
      </w:r>
    </w:p>
    <w:p>
      <w:r>
        <w:rPr>
          <w:b w:val="0"/>
          <w:i w:val="0"/>
          <w:sz w:val="22"/>
        </w:rPr>
        <w:t>A learner may enter through a lesson, encounter a proverb, look up a word in the dictionary, and leave with cultural knowledge they did not have before.</w:t>
      </w:r>
    </w:p>
    <w:p>
      <w:pPr>
        <w:pStyle w:val="Heading1"/>
        <w:jc w:val="left"/>
      </w:pPr>
      <w:r>
        <w:rPr>
          <w:color w:val="000000"/>
          <w:sz w:val="32"/>
        </w:rPr>
        <w:t>Community and Educator Model</w:t>
      </w:r>
    </w:p>
    <w:p>
      <w:r>
        <w:rPr>
          <w:b w:val="0"/>
          <w:i w:val="0"/>
          <w:sz w:val="22"/>
        </w:rPr>
        <w:t>Aurufie is built collaboratively. The platform depends on educators, native speakers, researchers, community leaders, and contributors working together to create and maintain high-quality resources.</w:t>
      </w:r>
    </w:p>
    <w:p>
      <w:r>
        <w:rPr>
          <w:b w:val="0"/>
          <w:i w:val="0"/>
          <w:sz w:val="22"/>
        </w:rPr>
        <w:t>Community members may participate as:</w:t>
      </w:r>
    </w:p>
    <w:p>
      <w:pPr>
        <w:pStyle w:val="ListBullet"/>
      </w:pPr>
      <w:r>
        <w:rPr>
          <w:b/>
          <w:sz w:val="22"/>
        </w:rPr>
        <w:t xml:space="preserve">Contributors — </w:t>
      </w:r>
      <w:r>
        <w:rPr>
          <w:sz w:val="22"/>
        </w:rPr>
        <w:t>Submit vocabulary, audio recordings, phrases, and cultural content</w:t>
      </w:r>
    </w:p>
    <w:p>
      <w:pPr>
        <w:pStyle w:val="ListBullet"/>
      </w:pPr>
      <w:r>
        <w:rPr>
          <w:b/>
          <w:sz w:val="22"/>
        </w:rPr>
        <w:t xml:space="preserve">Educators — </w:t>
      </w:r>
      <w:r>
        <w:rPr>
          <w:sz w:val="22"/>
        </w:rPr>
        <w:t>Build and publish full courses, lessons, stories, and cultural content through dedicated CMS tools</w:t>
      </w:r>
    </w:p>
    <w:p>
      <w:pPr>
        <w:pStyle w:val="ListBullet"/>
      </w:pPr>
      <w:r>
        <w:rPr>
          <w:b/>
          <w:sz w:val="22"/>
        </w:rPr>
        <w:t xml:space="preserve">Reviewers — </w:t>
      </w:r>
      <w:r>
        <w:rPr>
          <w:sz w:val="22"/>
        </w:rPr>
        <w:t>Assess submitted contributions for accuracy, cultural appropriateness, and completeness before publication</w:t>
      </w:r>
    </w:p>
    <w:p>
      <w:pPr>
        <w:pStyle w:val="ListBullet"/>
      </w:pPr>
      <w:r>
        <w:rPr>
          <w:b/>
          <w:sz w:val="22"/>
        </w:rPr>
        <w:t xml:space="preserve">Translators — </w:t>
      </w:r>
      <w:r>
        <w:rPr>
          <w:sz w:val="22"/>
        </w:rPr>
        <w:t>Support content accessibility across interface and target languages</w:t>
      </w:r>
    </w:p>
    <w:p>
      <w:pPr>
        <w:pStyle w:val="ListBullet"/>
      </w:pPr>
      <w:r>
        <w:rPr>
          <w:b/>
          <w:sz w:val="22"/>
        </w:rPr>
        <w:t xml:space="preserve">Audio Recorders — </w:t>
      </w:r>
      <w:r>
        <w:rPr>
          <w:sz w:val="22"/>
        </w:rPr>
        <w:t>Provide native-speaker voice recordings for vocabulary, lessons, and cultural materials</w:t>
      </w:r>
    </w:p>
    <w:p>
      <w:pPr>
        <w:pStyle w:val="ListBullet"/>
      </w:pPr>
      <w:r>
        <w:rPr>
          <w:b/>
          <w:sz w:val="22"/>
        </w:rPr>
        <w:t xml:space="preserve">Cultural Advisors — </w:t>
      </w:r>
      <w:r>
        <w:rPr>
          <w:sz w:val="22"/>
        </w:rPr>
        <w:t>Provide expert guidance ensuring accuracy and appropriate cultural framing</w:t>
      </w:r>
    </w:p>
    <w:p>
      <w:pPr>
        <w:pStyle w:val="ListBullet"/>
      </w:pPr>
      <w:r>
        <w:rPr>
          <w:b/>
          <w:sz w:val="22"/>
        </w:rPr>
        <w:t xml:space="preserve">Learners — </w:t>
      </w:r>
      <w:r>
        <w:rPr>
          <w:sz w:val="22"/>
        </w:rPr>
        <w:t>Engage with content, provide feedback, and contribute to the community feed</w:t>
      </w:r>
    </w:p>
    <w:p>
      <w:r>
        <w:rPr>
          <w:b w:val="0"/>
          <w:i w:val="0"/>
          <w:sz w:val="22"/>
        </w:rPr>
        <w:t>Every accepted contribution strengthens the platform. Contributors receive permanent attribution for their work. Detailed guidance for each role is available in the Educator Guide.</w:t>
      </w:r>
    </w:p>
    <w:p>
      <w:pPr>
        <w:pStyle w:val="Heading1"/>
        <w:jc w:val="left"/>
      </w:pPr>
      <w:r>
        <w:rPr>
          <w:color w:val="000000"/>
          <w:sz w:val="32"/>
        </w:rPr>
        <w:t>Language Expansion Framework</w:t>
      </w:r>
    </w:p>
    <w:p>
      <w:r>
        <w:rPr>
          <w:b w:val="0"/>
          <w:i w:val="0"/>
          <w:sz w:val="22"/>
        </w:rPr>
        <w:t>New language initiatives are evaluated based on community interest, availability of contributors and educators, native speaker availability, cultural significance, documentation opportunities, and long-term sustainability. The objective is not simply to add languages — it is to support them responsibly and thoroughly. A language added without adequate contributors, recordings, or cultural guidance creates the appearance of coverage without the substance.</w:t>
      </w:r>
    </w:p>
    <w:p>
      <w:pPr>
        <w:pStyle w:val="Heading1"/>
        <w:jc w:val="left"/>
      </w:pPr>
      <w:r>
        <w:rPr>
          <w:color w:val="000000"/>
          <w:sz w:val="32"/>
        </w:rPr>
        <w:t>Izon as the Blueprint</w:t>
      </w:r>
    </w:p>
    <w:p>
      <w:r>
        <w:rPr>
          <w:b w:val="0"/>
          <w:i w:val="0"/>
          <w:sz w:val="22"/>
        </w:rPr>
        <w:t>Izon serves as Aurufie's foundational language initiative. It represents the first complete implementation of the platform's educational philosophy and architecture — eight courses, forty-one lessons, a dictionary of over five hundred entries, six cultural essays, and eight stories from Izon oral tradition. Every future language program builds on the systems, standards, and lessons established here.</w:t>
      </w:r>
    </w:p>
    <w:p>
      <w:pPr>
        <w:pStyle w:val="Heading1"/>
        <w:jc w:val="left"/>
      </w:pPr>
      <w:r>
        <w:rPr>
          <w:color w:val="000000"/>
          <w:sz w:val="32"/>
        </w:rPr>
        <w:t>Governance and Quality</w:t>
      </w:r>
    </w:p>
    <w:p>
      <w:r>
        <w:rPr>
          <w:b w:val="0"/>
          <w:i w:val="0"/>
          <w:sz w:val="22"/>
        </w:rPr>
        <w:t>All published content undergoes review against documented standards, with contributors receiving feedback throughout the process. Community expertise is respected at every stage. Detailed guidance is provided in the Content Standards document.</w:t>
      </w:r>
    </w:p>
    <w:p>
      <w:pPr>
        <w:pStyle w:val="Heading1"/>
        <w:jc w:val="left"/>
      </w:pPr>
      <w:r>
        <w:rPr>
          <w:color w:val="000000"/>
          <w:sz w:val="32"/>
        </w:rPr>
        <w:t>Roadmap</w:t>
      </w:r>
    </w:p>
    <w:p>
      <w:r>
        <w:rPr>
          <w:b/>
          <w:sz w:val="24"/>
        </w:rPr>
        <w:t>Phase One — Foundation</w:t>
      </w:r>
    </w:p>
    <w:p>
      <w:r>
        <w:rPr>
          <w:b w:val="0"/>
          <w:i w:val="0"/>
          <w:sz w:val="22"/>
        </w:rPr>
        <w:t>Build the core platform, launch Beeli, and establish the Izon language program as the reference implementation. Deliverables: full Izon course catalog, dictionary, cultural archive, contribution system, and classroom tools.</w:t>
      </w:r>
    </w:p>
    <w:p/>
    <w:p>
      <w:r>
        <w:rPr>
          <w:b/>
          <w:sz w:val="24"/>
        </w:rPr>
        <w:t>Phase Two — Community Growth</w:t>
      </w:r>
    </w:p>
    <w:p>
      <w:r>
        <w:rPr>
          <w:b w:val="0"/>
          <w:i w:val="0"/>
          <w:sz w:val="22"/>
        </w:rPr>
        <w:t>Expand educator participation, strengthen contribution systems, improve classroom functionality, and onboard the first cohort of external educators and reviewers.</w:t>
      </w:r>
    </w:p>
    <w:p/>
    <w:p>
      <w:r>
        <w:rPr>
          <w:b/>
          <w:sz w:val="24"/>
        </w:rPr>
        <w:t>Phase Three — Language Expansion</w:t>
      </w:r>
    </w:p>
    <w:p>
      <w:r>
        <w:rPr>
          <w:b w:val="0"/>
          <w:i w:val="0"/>
          <w:sz w:val="22"/>
        </w:rPr>
        <w:t>Support additional African languages — beginning with those closest to existing contributor communities — and establish language-specific contributor networks.</w:t>
      </w:r>
    </w:p>
    <w:p/>
    <w:p>
      <w:r>
        <w:rPr>
          <w:b/>
          <w:sz w:val="24"/>
        </w:rPr>
        <w:t>Phase Four — Institutional Partnerships</w:t>
      </w:r>
    </w:p>
    <w:p>
      <w:r>
        <w:rPr>
          <w:b w:val="0"/>
          <w:i w:val="0"/>
          <w:sz w:val="22"/>
        </w:rPr>
        <w:t>Develop partnerships with schools, cultural organizations, universities, diaspora associations, and language preservation initiatives.</w:t>
      </w:r>
    </w:p>
    <w:p/>
    <w:p>
      <w:r>
        <w:rPr>
          <w:b/>
          <w:sz w:val="24"/>
        </w:rPr>
        <w:t>Phase Five — Global Platform</w:t>
      </w:r>
    </w:p>
    <w:p>
      <w:r>
        <w:rPr>
          <w:b w:val="0"/>
          <w:i w:val="0"/>
          <w:sz w:val="22"/>
        </w:rPr>
        <w:t>Become a leading platform for community-driven language preservation and cultural education, recognized by institutions and communities across Africa and the diaspora.</w:t>
      </w:r>
    </w:p>
    <w:p/>
    <w:p>
      <w:pPr>
        <w:pStyle w:val="Heading1"/>
        <w:jc w:val="left"/>
      </w:pPr>
      <w:r>
        <w:rPr>
          <w:color w:val="000000"/>
          <w:sz w:val="32"/>
        </w:rPr>
        <w:t>Marketing</w:t>
      </w:r>
    </w:p>
    <w:p>
      <w:pPr>
        <w:pStyle w:val="Heading2"/>
        <w:jc w:val="left"/>
      </w:pPr>
      <w:r>
        <w:rPr>
          <w:color w:val="000000"/>
          <w:sz w:val="26"/>
        </w:rPr>
        <w:t>Target Audiences</w:t>
      </w:r>
    </w:p>
    <w:p>
      <w:r>
        <w:rPr>
          <w:b w:val="0"/>
          <w:i w:val="0"/>
          <w:sz w:val="22"/>
        </w:rPr>
        <w:t>Aurufie serves four primary audiences:</w:t>
      </w:r>
    </w:p>
    <w:p>
      <w:pPr>
        <w:pStyle w:val="ListBullet"/>
      </w:pPr>
      <w:r>
        <w:rPr>
          <w:b/>
          <w:sz w:val="22"/>
        </w:rPr>
        <w:t xml:space="preserve">Diaspora Learners — </w:t>
      </w:r>
      <w:r>
        <w:rPr>
          <w:sz w:val="22"/>
        </w:rPr>
        <w:t>Adults who grew up separated from an ancestral language and are seeking a credible, culturally grounded way to reconnect. The largest and most immediately reachable segment — already searching for resources that do not exist.</w:t>
      </w:r>
    </w:p>
    <w:p>
      <w:pPr>
        <w:pStyle w:val="ListBullet"/>
      </w:pPr>
      <w:r>
        <w:rPr>
          <w:b/>
          <w:sz w:val="22"/>
        </w:rPr>
        <w:t xml:space="preserve">Heritage Learners (Younger Generation) — </w:t>
      </w:r>
      <w:r>
        <w:rPr>
          <w:sz w:val="22"/>
        </w:rPr>
        <w:t>Children and teenagers of diaspora families learning through community programs or at the direction of parents. They benefit most from gamified content and classroom tools that allow parents and educators to structure learning.</w:t>
      </w:r>
    </w:p>
    <w:p>
      <w:pPr>
        <w:pStyle w:val="ListBullet"/>
      </w:pPr>
      <w:r>
        <w:rPr>
          <w:b/>
          <w:sz w:val="22"/>
        </w:rPr>
        <w:t xml:space="preserve">Language Educators and Cultural Practitioners — </w:t>
      </w:r>
      <w:r>
        <w:rPr>
          <w:sz w:val="22"/>
        </w:rPr>
        <w:t>Teachers, elders, community leaders, and native speakers who want to contribute knowledge, build courses, and teach. This audience is not just a user segment — they are co-builders of the platform. Acquiring them is simultaneously a marketing and a content strategy.</w:t>
      </w:r>
    </w:p>
    <w:p>
      <w:pPr>
        <w:pStyle w:val="ListBullet"/>
      </w:pPr>
      <w:r>
        <w:rPr>
          <w:b/>
          <w:sz w:val="22"/>
        </w:rPr>
        <w:t xml:space="preserve">Institutional Partners — </w:t>
      </w:r>
      <w:r>
        <w:rPr>
          <w:sz w:val="22"/>
        </w:rPr>
        <w:t>Schools, universities, diaspora cultural organizations, and language preservation initiatives seeking structured digital tools. Lower volume, higher value — and a source of credibility that accelerates organic growth in other segments.</w:t>
      </w:r>
    </w:p>
    <w:p>
      <w:pPr>
        <w:pStyle w:val="Heading2"/>
        <w:jc w:val="left"/>
      </w:pPr>
      <w:r>
        <w:rPr>
          <w:color w:val="000000"/>
          <w:sz w:val="26"/>
        </w:rPr>
        <w:t>Go-to-Market Strategy</w:t>
      </w:r>
    </w:p>
    <w:p>
      <w:r>
        <w:rPr>
          <w:b w:val="0"/>
          <w:i w:val="0"/>
          <w:sz w:val="22"/>
        </w:rPr>
        <w:t>Growth follows the platform roadmap — each phase of product development corresponds to a distinct market expansion move.</w:t>
      </w:r>
    </w:p>
    <w:p>
      <w:pPr>
        <w:pStyle w:val="ListBullet"/>
      </w:pPr>
      <w:r>
        <w:rPr>
          <w:b/>
          <w:sz w:val="22"/>
        </w:rPr>
        <w:t xml:space="preserve">Phase One — Community First — </w:t>
      </w:r>
      <w:r>
        <w:rPr>
          <w:sz w:val="22"/>
        </w:rPr>
        <w:t>Growth begins within the Izon diaspora community through Facebook, WhatsApp, and community forums in Nigeria, the UK, and North America. The goal is deep resonance with an underserved community, not mass reach.</w:t>
      </w:r>
    </w:p>
    <w:p>
      <w:pPr>
        <w:pStyle w:val="ListBullet"/>
      </w:pPr>
      <w:r>
        <w:rPr>
          <w:b/>
          <w:sz w:val="22"/>
        </w:rPr>
        <w:t xml:space="preserve">Phase Two — Educator Activation — </w:t>
      </w:r>
      <w:r>
        <w:rPr>
          <w:sz w:val="22"/>
        </w:rPr>
        <w:t>Onboarding credible educators per language creates a multiplier effect — each brings their own learner network. Educator onboarding is simultaneously a content and distribution strategy.</w:t>
      </w:r>
    </w:p>
    <w:p>
      <w:pPr>
        <w:pStyle w:val="ListBullet"/>
      </w:pPr>
      <w:r>
        <w:rPr>
          <w:b/>
          <w:sz w:val="22"/>
        </w:rPr>
        <w:t xml:space="preserve">Phase Three — Creator Partnerships — </w:t>
      </w:r>
      <w:r>
        <w:rPr>
          <w:sz w:val="22"/>
        </w:rPr>
        <w:t>YouTube educators in the African and diaspora space reach audiences that match Aurufie's target users with existing trust. Partnerships extend reach into audiences that are pre-qualified and motivated.</w:t>
      </w:r>
    </w:p>
    <w:p>
      <w:pPr>
        <w:pStyle w:val="ListBullet"/>
      </w:pPr>
      <w:r>
        <w:rPr>
          <w:b/>
          <w:sz w:val="22"/>
        </w:rPr>
        <w:t xml:space="preserve">Phase Four — Institutional Outreach — </w:t>
      </w:r>
      <w:r>
        <w:rPr>
          <w:sz w:val="22"/>
        </w:rPr>
        <w:t>With demonstrated content depth and community credibility, outreach to African studies departments, diaspora cultural centers, and preservation NGOs becomes viable. A single university partnership can generate hundreds of learners and open grant doors.</w:t>
      </w:r>
    </w:p>
    <w:p>
      <w:pPr>
        <w:pStyle w:val="Heading1"/>
        <w:jc w:val="left"/>
      </w:pPr>
      <w:r>
        <w:rPr>
          <w:color w:val="000000"/>
          <w:sz w:val="32"/>
        </w:rPr>
        <w:t>Finance</w:t>
      </w:r>
    </w:p>
    <w:p>
      <w:pPr>
        <w:pStyle w:val="Heading2"/>
        <w:jc w:val="left"/>
      </w:pPr>
      <w:r>
        <w:rPr>
          <w:color w:val="000000"/>
          <w:sz w:val="26"/>
        </w:rPr>
        <w:t>Pricing</w:t>
      </w:r>
    </w:p>
    <w:p>
      <w:r>
        <w:rPr>
          <w:b w:val="0"/>
          <w:i w:val="0"/>
          <w:sz w:val="22"/>
        </w:rPr>
        <w:t>Pricing is benchmarked against comparable edtech platforms (Duolingo $6.99/month, Babbel $13.95/month) and positioned to be accessible while generating meaningful recurring revenue. Blended ARPU is approximately $74/year, assuming 60% of paid users choose annual plans.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Price</w:t>
            </w:r>
          </w:p>
        </w:tc>
        <w:tc>
          <w:tcPr>
            <w:tcW w:type="dxa" w:w="2880"/>
          </w:tcPr>
          <w:p>
            <w:r>
              <w:rPr>
                <w:b/>
                <w:sz w:val="18"/>
              </w:rPr>
              <w:t>Benchmark</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Beeli Plus Monthly</w:t>
            </w:r>
          </w:p>
        </w:tc>
        <w:tc>
          <w:tcPr>
            <w:tcW w:type="dxa" w:w="2880"/>
          </w:tcPr>
          <w:p>
            <w:r>
              <w:rPr>
                <w:sz w:val="18"/>
              </w:rPr>
              <w:t>$7.99 / month</w:t>
            </w:r>
          </w:p>
        </w:tc>
        <w:tc>
          <w:tcPr>
            <w:tcW w:type="dxa" w:w="2880"/>
          </w:tcPr>
          <w:p>
            <w:r>
              <w:rPr>
                <w:sz w:val="18"/>
              </w:rPr>
              <w:t>Duolingo $6.99, Babbel $13.95</w:t>
            </w:r>
          </w:p>
        </w:tc>
      </w:tr>
      <w:tr>
        <w:tc>
          <w:tcPr>
            <w:tcW w:type="dxa" w:w="2880"/>
          </w:tcPr>
          <w:p>
            <w:r>
              <w:rPr>
                <w:sz w:val="18"/>
              </w:rPr>
              <w:t>Beeli Plus Annual</w:t>
            </w:r>
          </w:p>
        </w:tc>
        <w:tc>
          <w:tcPr>
            <w:tcW w:type="dxa" w:w="2880"/>
          </w:tcPr>
          <w:p>
            <w:r>
              <w:rPr>
                <w:sz w:val="18"/>
              </w:rPr>
              <w:t>$59.99 / year (~$5/month)</w:t>
            </w:r>
          </w:p>
        </w:tc>
        <w:tc>
          <w:tcPr>
            <w:tcW w:type="dxa" w:w="2880"/>
          </w:tcPr>
          <w:p>
            <w:r>
              <w:rPr>
                <w:sz w:val="18"/>
              </w:rPr>
              <w:t>Standard 37% discount to drive annual commitment</w:t>
            </w:r>
          </w:p>
        </w:tc>
      </w:tr>
      <w:tr>
        <w:tc>
          <w:tcPr>
            <w:tcW w:type="dxa" w:w="2880"/>
          </w:tcPr>
          <w:p>
            <w:r>
              <w:rPr>
                <w:sz w:val="18"/>
              </w:rPr>
              <w:t>Institutional Per-Seat</w:t>
            </w:r>
          </w:p>
        </w:tc>
        <w:tc>
          <w:tcPr>
            <w:tcW w:type="dxa" w:w="2880"/>
          </w:tcPr>
          <w:p>
            <w:r>
              <w:rPr>
                <w:sz w:val="18"/>
              </w:rPr>
              <w:t>$8 / seat / month (20-seat minimum)</w:t>
            </w:r>
          </w:p>
        </w:tc>
        <w:tc>
          <w:tcPr>
            <w:tcW w:type="dxa" w:w="2880"/>
          </w:tcPr>
          <w:p>
            <w:r>
              <w:rPr>
                <w:sz w:val="18"/>
              </w:rPr>
              <w:t>Edtech average $5–12/seat</w:t>
            </w:r>
          </w:p>
        </w:tc>
      </w:tr>
      <w:tr>
        <w:tc>
          <w:tcPr>
            <w:tcW w:type="dxa" w:w="2880"/>
          </w:tcPr>
          <w:p>
            <w:r>
              <w:rPr>
                <w:sz w:val="18"/>
              </w:rPr>
              <w:t>Institutional Flat (small org)</w:t>
            </w:r>
          </w:p>
        </w:tc>
        <w:tc>
          <w:tcPr>
            <w:tcW w:type="dxa" w:w="2880"/>
          </w:tcPr>
          <w:p>
            <w:r>
              <w:rPr>
                <w:sz w:val="18"/>
              </w:rPr>
              <w:t>$1,200 / year</w:t>
            </w:r>
          </w:p>
        </w:tc>
        <w:tc>
          <w:tcPr>
            <w:tcW w:type="dxa" w:w="2880"/>
          </w:tcPr>
          <w:p>
            <w:r>
              <w:rPr>
                <w:sz w:val="18"/>
              </w:rPr>
              <w:t>Community orgs, diaspora cultural centers</w:t>
            </w:r>
          </w:p>
        </w:tc>
      </w:tr>
      <w:tr>
        <w:tc>
          <w:tcPr>
            <w:tcW w:type="dxa" w:w="2880"/>
          </w:tcPr>
          <w:p>
            <w:r>
              <w:rPr>
                <w:sz w:val="18"/>
              </w:rPr>
              <w:t>Institutional Enterprise</w:t>
            </w:r>
          </w:p>
        </w:tc>
        <w:tc>
          <w:tcPr>
            <w:tcW w:type="dxa" w:w="2880"/>
          </w:tcPr>
          <w:p>
            <w:r>
              <w:rPr>
                <w:sz w:val="18"/>
              </w:rPr>
              <w:t>$10,000–20,000 / year</w:t>
            </w:r>
          </w:p>
        </w:tc>
        <w:tc>
          <w:tcPr>
            <w:tcW w:type="dxa" w:w="2880"/>
          </w:tcPr>
          <w:p>
            <w:r>
              <w:rPr>
                <w:sz w:val="18"/>
              </w:rPr>
              <w:t>Universities, school districts, government programs</w:t>
            </w:r>
          </w:p>
        </w:tc>
      </w:tr>
    </w:tbl>
    <w:p/>
    <w:p>
      <w:r>
        <w:rPr>
          <w:b w:val="0"/>
          <w:i/>
          <w:sz w:val="22"/>
        </w:rPr>
        <w:t>Freemium conversion target: 4–7%, above the typical edtech range of 2–5%, based on the high-intent nature of diaspora and heritage learners actively seeking resources that do not exist elsewhere.</w:t>
      </w:r>
    </w:p>
    <w:p>
      <w:pPr>
        <w:pStyle w:val="Heading2"/>
        <w:jc w:val="left"/>
      </w:pPr>
      <w:r>
        <w:rPr>
          <w:color w:val="000000"/>
          <w:sz w:val="26"/>
        </w:rPr>
        <w:t>Year-by-Year Projections</w:t>
      </w:r>
    </w:p>
    <w:p/>
    <w:p>
      <w:r>
        <w:rPr>
          <w:b/>
          <w:i w:val="0"/>
          <w:sz w:val="22"/>
        </w:rPr>
        <w:t>Year 1 — Foundation (Izon Launch)</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MAU</w:t>
            </w:r>
          </w:p>
        </w:tc>
        <w:tc>
          <w:tcPr>
            <w:tcW w:type="dxa" w:w="4320"/>
          </w:tcPr>
          <w:p>
            <w:r>
              <w:rPr>
                <w:sz w:val="18"/>
              </w:rPr>
              <w:t>2,000</w:t>
            </w:r>
          </w:p>
        </w:tc>
      </w:tr>
      <w:tr>
        <w:tc>
          <w:tcPr>
            <w:tcW w:type="dxa" w:w="4320"/>
          </w:tcPr>
          <w:p>
            <w:r>
              <w:rPr>
                <w:sz w:val="18"/>
              </w:rPr>
              <w:t>Conversion rate</w:t>
            </w:r>
          </w:p>
        </w:tc>
        <w:tc>
          <w:tcPr>
            <w:tcW w:type="dxa" w:w="4320"/>
          </w:tcPr>
          <w:p>
            <w:r>
              <w:rPr>
                <w:sz w:val="18"/>
              </w:rPr>
              <w:t>4%</w:t>
            </w:r>
          </w:p>
        </w:tc>
      </w:tr>
      <w:tr>
        <w:tc>
          <w:tcPr>
            <w:tcW w:type="dxa" w:w="4320"/>
          </w:tcPr>
          <w:p>
            <w:r>
              <w:rPr>
                <w:sz w:val="18"/>
              </w:rPr>
              <w:t>Paid subscribers</w:t>
            </w:r>
          </w:p>
        </w:tc>
        <w:tc>
          <w:tcPr>
            <w:tcW w:type="dxa" w:w="4320"/>
          </w:tcPr>
          <w:p>
            <w:r>
              <w:rPr>
                <w:sz w:val="18"/>
              </w:rPr>
              <w:t>80</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(80 × $74)</w:t>
            </w:r>
          </w:p>
        </w:tc>
        <w:tc>
          <w:tcPr>
            <w:tcW w:type="dxa" w:w="4320"/>
          </w:tcPr>
          <w:p>
            <w:r>
              <w:rPr>
                <w:sz w:val="18"/>
              </w:rPr>
              <w:t>$5,920</w:t>
            </w:r>
          </w:p>
        </w:tc>
      </w:tr>
      <w:tr>
        <w:tc>
          <w:tcPr>
            <w:tcW w:type="dxa" w:w="4320"/>
          </w:tcPr>
          <w:p>
            <w:r>
              <w:rPr>
                <w:sz w:val="18"/>
              </w:rPr>
              <w:t>Institutional deals</w:t>
            </w:r>
          </w:p>
        </w:tc>
        <w:tc>
          <w:tcPr>
            <w:tcW w:type="dxa" w:w="4320"/>
          </w:tcPr>
          <w:p>
            <w:r>
              <w:rPr>
                <w:sz w:val="18"/>
              </w:rPr>
              <w:t>$0</w:t>
            </w:r>
          </w:p>
        </w:tc>
      </w:tr>
      <w:tr>
        <w:tc>
          <w:tcPr>
            <w:tcW w:type="dxa" w:w="4320"/>
          </w:tcPr>
          <w:p>
            <w:r>
              <w:rPr>
                <w:sz w:val="18"/>
              </w:rPr>
              <w:t>Grant income</w:t>
            </w:r>
          </w:p>
        </w:tc>
        <w:tc>
          <w:tcPr>
            <w:tcW w:type="dxa" w:w="4320"/>
          </w:tcPr>
          <w:p>
            <w:r>
              <w:rPr>
                <w:sz w:val="18"/>
              </w:rPr>
              <w:t>$25,000</w:t>
            </w:r>
          </w:p>
        </w:tc>
      </w:tr>
      <w:tr>
        <w:tc>
          <w:tcPr>
            <w:tcW w:type="dxa" w:w="4320"/>
          </w:tcPr>
          <w:p>
            <w:r>
              <w:rPr>
                <w:sz w:val="18"/>
              </w:rPr>
              <w:t>Total</w:t>
            </w:r>
          </w:p>
        </w:tc>
        <w:tc>
          <w:tcPr>
            <w:tcW w:type="dxa" w:w="4320"/>
          </w:tcPr>
          <w:p>
            <w:r>
              <w:rPr>
                <w:sz w:val="18"/>
              </w:rPr>
              <w:t>$30,920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w:t>
            </w:r>
          </w:p>
        </w:tc>
        <w:tc>
          <w:tcPr>
            <w:tcW w:type="dxa" w:w="2880"/>
          </w:tcPr>
          <w:p>
            <w:r>
              <w:rPr>
                <w:sz w:val="18"/>
              </w:rPr>
              <w:t>$800</w:t>
            </w:r>
          </w:p>
        </w:tc>
        <w:tc>
          <w:tcPr>
            <w:tcW w:type="dxa" w:w="2880"/>
          </w:tcPr>
          <w:p>
            <w:r>
              <w:rPr>
                <w:sz w:val="18"/>
              </w:rPr>
              <w:t>$9,600</w:t>
            </w:r>
          </w:p>
        </w:tc>
      </w:tr>
      <w:tr>
        <w:tc>
          <w:tcPr>
            <w:tcW w:type="dxa" w:w="2880"/>
          </w:tcPr>
          <w:p>
            <w:r>
              <w:rPr>
                <w:sz w:val="18"/>
              </w:rPr>
              <w:t>Content production</w:t>
            </w:r>
          </w:p>
        </w:tc>
        <w:tc>
          <w:tcPr>
            <w:tcW w:type="dxa" w:w="2880"/>
          </w:tcPr>
          <w:p>
            <w:r>
              <w:rPr>
                <w:sz w:val="18"/>
              </w:rPr>
              <w:t>$1,000</w:t>
            </w:r>
          </w:p>
        </w:tc>
        <w:tc>
          <w:tcPr>
            <w:tcW w:type="dxa" w:w="2880"/>
          </w:tcPr>
          <w:p>
            <w:r>
              <w:rPr>
                <w:sz w:val="18"/>
              </w:rPr>
              <w:t>$12,000</w:t>
            </w:r>
          </w:p>
        </w:tc>
      </w:tr>
      <w:tr>
        <w:tc>
          <w:tcPr>
            <w:tcW w:type="dxa" w:w="2880"/>
          </w:tcPr>
          <w:p>
            <w:r>
              <w:rPr>
                <w:sz w:val="18"/>
              </w:rPr>
              <w:t>Total</w:t>
            </w:r>
          </w:p>
        </w:tc>
        <w:tc>
          <w:tcPr>
            <w:tcW w:type="dxa" w:w="2880"/>
          </w:tcPr>
          <w:p>
            <w:r>
              <w:rPr>
                <w:sz w:val="18"/>
              </w:rPr>
              <w:t>$1,800</w:t>
            </w:r>
          </w:p>
        </w:tc>
        <w:tc>
          <w:tcPr>
            <w:tcW w:type="dxa" w:w="2880"/>
          </w:tcPr>
          <w:p>
            <w:r>
              <w:rPr>
                <w:sz w:val="18"/>
              </w:rPr>
              <w:t>$21,600</w:t>
            </w:r>
          </w:p>
        </w:tc>
      </w:tr>
    </w:tbl>
    <w:p/>
    <w:p>
      <w:r>
        <w:rPr>
          <w:b w:val="0"/>
          <w:i/>
          <w:sz w:val="22"/>
        </w:rPr>
        <w:t>Net: +$9,320 — grant-supported. Goal: prove subscription conversion and establish infrastructure costs.</w:t>
      </w:r>
    </w:p>
    <w:p/>
    <w:p>
      <w:r>
        <w:rPr>
          <w:b/>
          <w:i w:val="0"/>
          <w:sz w:val="22"/>
        </w:rPr>
        <w:t>Year 2 — Community Growth (2nd Language + Educator Cohort)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MAU</w:t>
            </w:r>
          </w:p>
        </w:tc>
        <w:tc>
          <w:tcPr>
            <w:tcW w:type="dxa" w:w="4320"/>
          </w:tcPr>
          <w:p>
            <w:r>
              <w:rPr>
                <w:sz w:val="18"/>
              </w:rPr>
              <w:t>10,000</w:t>
            </w:r>
          </w:p>
        </w:tc>
      </w:tr>
      <w:tr>
        <w:tc>
          <w:tcPr>
            <w:tcW w:type="dxa" w:w="4320"/>
          </w:tcPr>
          <w:p>
            <w:r>
              <w:rPr>
                <w:sz w:val="18"/>
              </w:rPr>
              <w:t>Conversion rate</w:t>
            </w:r>
          </w:p>
        </w:tc>
        <w:tc>
          <w:tcPr>
            <w:tcW w:type="dxa" w:w="4320"/>
          </w:tcPr>
          <w:p>
            <w:r>
              <w:rPr>
                <w:sz w:val="18"/>
              </w:rPr>
              <w:t>5%</w:t>
            </w:r>
          </w:p>
        </w:tc>
      </w:tr>
      <w:tr>
        <w:tc>
          <w:tcPr>
            <w:tcW w:type="dxa" w:w="4320"/>
          </w:tcPr>
          <w:p>
            <w:r>
              <w:rPr>
                <w:sz w:val="18"/>
              </w:rPr>
              <w:t>Paid subscribers</w:t>
            </w:r>
          </w:p>
        </w:tc>
        <w:tc>
          <w:tcPr>
            <w:tcW w:type="dxa" w:w="4320"/>
          </w:tcPr>
          <w:p>
            <w:r>
              <w:rPr>
                <w:sz w:val="18"/>
              </w:rPr>
              <w:t>500</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(500 × $74)</w:t>
            </w:r>
          </w:p>
        </w:tc>
        <w:tc>
          <w:tcPr>
            <w:tcW w:type="dxa" w:w="4320"/>
          </w:tcPr>
          <w:p>
            <w:r>
              <w:rPr>
                <w:sz w:val="18"/>
              </w:rPr>
              <w:t>$37,000</w:t>
            </w:r>
          </w:p>
        </w:tc>
      </w:tr>
      <w:tr>
        <w:tc>
          <w:tcPr>
            <w:tcW w:type="dxa" w:w="4320"/>
          </w:tcPr>
          <w:p>
            <w:r>
              <w:rPr>
                <w:sz w:val="18"/>
              </w:rPr>
              <w:t>Institutional (2 deals × $1,200)</w:t>
            </w:r>
          </w:p>
        </w:tc>
        <w:tc>
          <w:tcPr>
            <w:tcW w:type="dxa" w:w="4320"/>
          </w:tcPr>
          <w:p>
            <w:r>
              <w:rPr>
                <w:sz w:val="18"/>
              </w:rPr>
              <w:t>$2,400</w:t>
            </w:r>
          </w:p>
        </w:tc>
      </w:tr>
      <w:tr>
        <w:tc>
          <w:tcPr>
            <w:tcW w:type="dxa" w:w="4320"/>
          </w:tcPr>
          <w:p>
            <w:r>
              <w:rPr>
                <w:sz w:val="18"/>
              </w:rPr>
              <w:t>Grant income</w:t>
            </w:r>
          </w:p>
        </w:tc>
        <w:tc>
          <w:tcPr>
            <w:tcW w:type="dxa" w:w="4320"/>
          </w:tcPr>
          <w:p>
            <w:r>
              <w:rPr>
                <w:sz w:val="18"/>
              </w:rPr>
              <w:t>$50,000</w:t>
            </w:r>
          </w:p>
        </w:tc>
      </w:tr>
      <w:tr>
        <w:tc>
          <w:tcPr>
            <w:tcW w:type="dxa" w:w="4320"/>
          </w:tcPr>
          <w:p>
            <w:r>
              <w:rPr>
                <w:sz w:val="18"/>
              </w:rPr>
              <w:t>Total</w:t>
            </w:r>
          </w:p>
        </w:tc>
        <w:tc>
          <w:tcPr>
            <w:tcW w:type="dxa" w:w="4320"/>
          </w:tcPr>
          <w:p>
            <w:r>
              <w:rPr>
                <w:sz w:val="18"/>
              </w:rPr>
              <w:t>$89,400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w:t>
            </w:r>
          </w:p>
        </w:tc>
        <w:tc>
          <w:tcPr>
            <w:tcW w:type="dxa" w:w="2880"/>
          </w:tcPr>
          <w:p>
            <w:r>
              <w:rPr>
                <w:sz w:val="18"/>
              </w:rPr>
              <w:t>$1,500</w:t>
            </w:r>
          </w:p>
        </w:tc>
        <w:tc>
          <w:tcPr>
            <w:tcW w:type="dxa" w:w="2880"/>
          </w:tcPr>
          <w:p>
            <w:r>
              <w:rPr>
                <w:sz w:val="18"/>
              </w:rPr>
              <w:t>$18,000</w:t>
            </w:r>
          </w:p>
        </w:tc>
      </w:tr>
      <w:tr>
        <w:tc>
          <w:tcPr>
            <w:tcW w:type="dxa" w:w="2880"/>
          </w:tcPr>
          <w:p>
            <w:r>
              <w:rPr>
                <w:sz w:val="18"/>
              </w:rPr>
              <w:t>Content production</w:t>
            </w:r>
          </w:p>
        </w:tc>
        <w:tc>
          <w:tcPr>
            <w:tcW w:type="dxa" w:w="2880"/>
          </w:tcPr>
          <w:p>
            <w:r>
              <w:rPr>
                <w:sz w:val="18"/>
              </w:rPr>
              <w:t>$2,000</w:t>
            </w:r>
          </w:p>
        </w:tc>
        <w:tc>
          <w:tcPr>
            <w:tcW w:type="dxa" w:w="2880"/>
          </w:tcPr>
          <w:p>
            <w:r>
              <w:rPr>
                <w:sz w:val="18"/>
              </w:rPr>
              <w:t>$24,000</w:t>
            </w:r>
          </w:p>
        </w:tc>
      </w:tr>
      <w:tr>
        <w:tc>
          <w:tcPr>
            <w:tcW w:type="dxa" w:w="2880"/>
          </w:tcPr>
          <w:p>
            <w:r>
              <w:rPr>
                <w:sz w:val="18"/>
              </w:rPr>
              <w:t>Team (contractors)</w:t>
            </w:r>
          </w:p>
        </w:tc>
        <w:tc>
          <w:tcPr>
            <w:tcW w:type="dxa" w:w="2880"/>
          </w:tcPr>
          <w:p>
            <w:r>
              <w:rPr>
                <w:sz w:val="18"/>
              </w:rPr>
              <w:t>$3,000</w:t>
            </w:r>
          </w:p>
        </w:tc>
        <w:tc>
          <w:tcPr>
            <w:tcW w:type="dxa" w:w="2880"/>
          </w:tcPr>
          <w:p>
            <w:r>
              <w:rPr>
                <w:sz w:val="18"/>
              </w:rPr>
              <w:t>$36,000</w:t>
            </w:r>
          </w:p>
        </w:tc>
      </w:tr>
      <w:tr>
        <w:tc>
          <w:tcPr>
            <w:tcW w:type="dxa" w:w="2880"/>
          </w:tcPr>
          <w:p>
            <w:r>
              <w:rPr>
                <w:sz w:val="18"/>
              </w:rPr>
              <w:t>Total</w:t>
            </w:r>
          </w:p>
        </w:tc>
        <w:tc>
          <w:tcPr>
            <w:tcW w:type="dxa" w:w="2880"/>
          </w:tcPr>
          <w:p>
            <w:r>
              <w:rPr>
                <w:sz w:val="18"/>
              </w:rPr>
              <w:t>$6,500</w:t>
            </w:r>
          </w:p>
        </w:tc>
        <w:tc>
          <w:tcPr>
            <w:tcW w:type="dxa" w:w="2880"/>
          </w:tcPr>
          <w:p>
            <w:r>
              <w:rPr>
                <w:sz w:val="18"/>
              </w:rPr>
              <w:t>$78,000</w:t>
            </w:r>
          </w:p>
        </w:tc>
      </w:tr>
    </w:tbl>
    <w:p/>
    <w:p>
      <w:r>
        <w:rPr>
          <w:b w:val="0"/>
          <w:i/>
          <w:sz w:val="22"/>
        </w:rPr>
        <w:t>Net: +$11,400 — grant-supported. First institutional deal closes. Subscription MRR becomes trackable.</w:t>
      </w:r>
    </w:p>
    <w:p/>
    <w:p>
      <w:r>
        <w:rPr>
          <w:b/>
          <w:i w:val="0"/>
          <w:sz w:val="22"/>
        </w:rPr>
        <w:t>Year 3 — Language Expansion (3+ Languages + Creator Partnerships)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MAU</w:t>
            </w:r>
          </w:p>
        </w:tc>
        <w:tc>
          <w:tcPr>
            <w:tcW w:type="dxa" w:w="4320"/>
          </w:tcPr>
          <w:p>
            <w:r>
              <w:rPr>
                <w:sz w:val="18"/>
              </w:rPr>
              <w:t>35,000</w:t>
            </w:r>
          </w:p>
        </w:tc>
      </w:tr>
      <w:tr>
        <w:tc>
          <w:tcPr>
            <w:tcW w:type="dxa" w:w="4320"/>
          </w:tcPr>
          <w:p>
            <w:r>
              <w:rPr>
                <w:sz w:val="18"/>
              </w:rPr>
              <w:t>Conversion rate</w:t>
            </w:r>
          </w:p>
        </w:tc>
        <w:tc>
          <w:tcPr>
            <w:tcW w:type="dxa" w:w="4320"/>
          </w:tcPr>
          <w:p>
            <w:r>
              <w:rPr>
                <w:sz w:val="18"/>
              </w:rPr>
              <w:t>6%</w:t>
            </w:r>
          </w:p>
        </w:tc>
      </w:tr>
      <w:tr>
        <w:tc>
          <w:tcPr>
            <w:tcW w:type="dxa" w:w="4320"/>
          </w:tcPr>
          <w:p>
            <w:r>
              <w:rPr>
                <w:sz w:val="18"/>
              </w:rPr>
              <w:t>Paid subscribers</w:t>
            </w:r>
          </w:p>
        </w:tc>
        <w:tc>
          <w:tcPr>
            <w:tcW w:type="dxa" w:w="4320"/>
          </w:tcPr>
          <w:p>
            <w:r>
              <w:rPr>
                <w:sz w:val="18"/>
              </w:rPr>
              <w:t>2,100</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(2,100 × $74)</w:t>
            </w:r>
          </w:p>
        </w:tc>
        <w:tc>
          <w:tcPr>
            <w:tcW w:type="dxa" w:w="4320"/>
          </w:tcPr>
          <w:p>
            <w:r>
              <w:rPr>
                <w:sz w:val="18"/>
              </w:rPr>
              <w:t>$155,400</w:t>
            </w:r>
          </w:p>
        </w:tc>
      </w:tr>
      <w:tr>
        <w:tc>
          <w:tcPr>
            <w:tcW w:type="dxa" w:w="4320"/>
          </w:tcPr>
          <w:p>
            <w:r>
              <w:rPr>
                <w:sz w:val="18"/>
              </w:rPr>
              <w:t>Institutional (5 deals avg $5,000)</w:t>
            </w:r>
          </w:p>
        </w:tc>
        <w:tc>
          <w:tcPr>
            <w:tcW w:type="dxa" w:w="4320"/>
          </w:tcPr>
          <w:p>
            <w:r>
              <w:rPr>
                <w:sz w:val="18"/>
              </w:rPr>
              <w:t>$25,000</w:t>
            </w:r>
          </w:p>
        </w:tc>
      </w:tr>
      <w:tr>
        <w:tc>
          <w:tcPr>
            <w:tcW w:type="dxa" w:w="4320"/>
          </w:tcPr>
          <w:p>
            <w:r>
              <w:rPr>
                <w:sz w:val="18"/>
              </w:rPr>
              <w:t>Grant income</w:t>
            </w:r>
          </w:p>
        </w:tc>
        <w:tc>
          <w:tcPr>
            <w:tcW w:type="dxa" w:w="4320"/>
          </w:tcPr>
          <w:p>
            <w:r>
              <w:rPr>
                <w:sz w:val="18"/>
              </w:rPr>
              <w:t>$75,000</w:t>
            </w:r>
          </w:p>
        </w:tc>
      </w:tr>
      <w:tr>
        <w:tc>
          <w:tcPr>
            <w:tcW w:type="dxa" w:w="4320"/>
          </w:tcPr>
          <w:p>
            <w:r>
              <w:rPr>
                <w:sz w:val="18"/>
              </w:rPr>
              <w:t>Total</w:t>
            </w:r>
          </w:p>
        </w:tc>
        <w:tc>
          <w:tcPr>
            <w:tcW w:type="dxa" w:w="4320"/>
          </w:tcPr>
          <w:p>
            <w:r>
              <w:rPr>
                <w:sz w:val="18"/>
              </w:rPr>
              <w:t>$255,400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w:t>
            </w:r>
          </w:p>
        </w:tc>
        <w:tc>
          <w:tcPr>
            <w:tcW w:type="dxa" w:w="2880"/>
          </w:tcPr>
          <w:p>
            <w:r>
              <w:rPr>
                <w:sz w:val="18"/>
              </w:rPr>
              <w:t>$3,000</w:t>
            </w:r>
          </w:p>
        </w:tc>
        <w:tc>
          <w:tcPr>
            <w:tcW w:type="dxa" w:w="2880"/>
          </w:tcPr>
          <w:p>
            <w:r>
              <w:rPr>
                <w:sz w:val="18"/>
              </w:rPr>
              <w:t>$36,000</w:t>
            </w:r>
          </w:p>
        </w:tc>
      </w:tr>
      <w:tr>
        <w:tc>
          <w:tcPr>
            <w:tcW w:type="dxa" w:w="2880"/>
          </w:tcPr>
          <w:p>
            <w:r>
              <w:rPr>
                <w:sz w:val="18"/>
              </w:rPr>
              <w:t>Content production</w:t>
            </w:r>
          </w:p>
        </w:tc>
        <w:tc>
          <w:tcPr>
            <w:tcW w:type="dxa" w:w="2880"/>
          </w:tcPr>
          <w:p>
            <w:r>
              <w:rPr>
                <w:sz w:val="18"/>
              </w:rPr>
              <w:t>$4,000</w:t>
            </w:r>
          </w:p>
        </w:tc>
        <w:tc>
          <w:tcPr>
            <w:tcW w:type="dxa" w:w="2880"/>
          </w:tcPr>
          <w:p>
            <w:r>
              <w:rPr>
                <w:sz w:val="18"/>
              </w:rPr>
              <w:t>$48,000</w:t>
            </w:r>
          </w:p>
        </w:tc>
      </w:tr>
      <w:tr>
        <w:tc>
          <w:tcPr>
            <w:tcW w:type="dxa" w:w="2880"/>
          </w:tcPr>
          <w:p>
            <w:r>
              <w:rPr>
                <w:sz w:val="18"/>
              </w:rPr>
              <w:t>Team</w:t>
            </w:r>
          </w:p>
        </w:tc>
        <w:tc>
          <w:tcPr>
            <w:tcW w:type="dxa" w:w="2880"/>
          </w:tcPr>
          <w:p>
            <w:r>
              <w:rPr>
                <w:sz w:val="18"/>
              </w:rPr>
              <w:t>$8,000</w:t>
            </w:r>
          </w:p>
        </w:tc>
        <w:tc>
          <w:tcPr>
            <w:tcW w:type="dxa" w:w="2880"/>
          </w:tcPr>
          <w:p>
            <w:r>
              <w:rPr>
                <w:sz w:val="18"/>
              </w:rPr>
              <w:t>$96,000</w:t>
            </w:r>
          </w:p>
        </w:tc>
      </w:tr>
      <w:tr>
        <w:tc>
          <w:tcPr>
            <w:tcW w:type="dxa" w:w="2880"/>
          </w:tcPr>
          <w:p>
            <w:r>
              <w:rPr>
                <w:sz w:val="18"/>
              </w:rPr>
              <w:t>Educator incentives</w:t>
            </w:r>
          </w:p>
        </w:tc>
        <w:tc>
          <w:tcPr>
            <w:tcW w:type="dxa" w:w="2880"/>
          </w:tcPr>
          <w:p>
            <w:r>
              <w:rPr>
                <w:sz w:val="18"/>
              </w:rPr>
              <w:t>$2,000</w:t>
            </w:r>
          </w:p>
        </w:tc>
        <w:tc>
          <w:tcPr>
            <w:tcW w:type="dxa" w:w="2880"/>
          </w:tcPr>
          <w:p>
            <w:r>
              <w:rPr>
                <w:sz w:val="18"/>
              </w:rPr>
              <w:t>$24,000</w:t>
            </w:r>
          </w:p>
        </w:tc>
      </w:tr>
      <w:tr>
        <w:tc>
          <w:tcPr>
            <w:tcW w:type="dxa" w:w="2880"/>
          </w:tcPr>
          <w:p>
            <w:r>
              <w:rPr>
                <w:sz w:val="18"/>
              </w:rPr>
              <w:t>Total</w:t>
            </w:r>
          </w:p>
        </w:tc>
        <w:tc>
          <w:tcPr>
            <w:tcW w:type="dxa" w:w="2880"/>
          </w:tcPr>
          <w:p>
            <w:r>
              <w:rPr>
                <w:sz w:val="18"/>
              </w:rPr>
              <w:t>$17,000</w:t>
            </w:r>
          </w:p>
        </w:tc>
        <w:tc>
          <w:tcPr>
            <w:tcW w:type="dxa" w:w="2880"/>
          </w:tcPr>
          <w:p>
            <w:r>
              <w:rPr>
                <w:sz w:val="18"/>
              </w:rPr>
              <w:t>$204,000</w:t>
            </w:r>
          </w:p>
        </w:tc>
      </w:tr>
    </w:tbl>
    <w:p/>
    <w:p>
      <w:r>
        <w:rPr>
          <w:b w:val="0"/>
          <w:i/>
          <w:sz w:val="22"/>
        </w:rPr>
        <w:t>Net: +$51,400 — first year of meaningful profit. Grant dependence declining.</w:t>
      </w:r>
    </w:p>
    <w:p/>
    <w:p>
      <w:r>
        <w:rPr>
          <w:b/>
          <w:i w:val="0"/>
          <w:sz w:val="22"/>
        </w:rPr>
        <w:t>Year 4 — Institutional Partnerships (Post Seed Round)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MAU</w:t>
            </w:r>
          </w:p>
        </w:tc>
        <w:tc>
          <w:tcPr>
            <w:tcW w:type="dxa" w:w="4320"/>
          </w:tcPr>
          <w:p>
            <w:r>
              <w:rPr>
                <w:sz w:val="18"/>
              </w:rPr>
              <w:t>100,000</w:t>
            </w:r>
          </w:p>
        </w:tc>
      </w:tr>
      <w:tr>
        <w:tc>
          <w:tcPr>
            <w:tcW w:type="dxa" w:w="4320"/>
          </w:tcPr>
          <w:p>
            <w:r>
              <w:rPr>
                <w:sz w:val="18"/>
              </w:rPr>
              <w:t>Conversion rate</w:t>
            </w:r>
          </w:p>
        </w:tc>
        <w:tc>
          <w:tcPr>
            <w:tcW w:type="dxa" w:w="4320"/>
          </w:tcPr>
          <w:p>
            <w:r>
              <w:rPr>
                <w:sz w:val="18"/>
              </w:rPr>
              <w:t>7%</w:t>
            </w:r>
          </w:p>
        </w:tc>
      </w:tr>
      <w:tr>
        <w:tc>
          <w:tcPr>
            <w:tcW w:type="dxa" w:w="4320"/>
          </w:tcPr>
          <w:p>
            <w:r>
              <w:rPr>
                <w:sz w:val="18"/>
              </w:rPr>
              <w:t>Paid subscribers</w:t>
            </w:r>
          </w:p>
        </w:tc>
        <w:tc>
          <w:tcPr>
            <w:tcW w:type="dxa" w:w="4320"/>
          </w:tcPr>
          <w:p>
            <w:r>
              <w:rPr>
                <w:sz w:val="18"/>
              </w:rPr>
              <w:t>7,000</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(7,000 × $74)</w:t>
            </w:r>
          </w:p>
        </w:tc>
        <w:tc>
          <w:tcPr>
            <w:tcW w:type="dxa" w:w="4320"/>
          </w:tcPr>
          <w:p>
            <w:r>
              <w:rPr>
                <w:sz w:val="18"/>
              </w:rPr>
              <w:t>$518,000</w:t>
            </w:r>
          </w:p>
        </w:tc>
      </w:tr>
      <w:tr>
        <w:tc>
          <w:tcPr>
            <w:tcW w:type="dxa" w:w="4320"/>
          </w:tcPr>
          <w:p>
            <w:r>
              <w:rPr>
                <w:sz w:val="18"/>
              </w:rPr>
              <w:t>Institutional (15 deals avg $8,000)</w:t>
            </w:r>
          </w:p>
        </w:tc>
        <w:tc>
          <w:tcPr>
            <w:tcW w:type="dxa" w:w="4320"/>
          </w:tcPr>
          <w:p>
            <w:r>
              <w:rPr>
                <w:sz w:val="18"/>
              </w:rPr>
              <w:t>$120,000</w:t>
            </w:r>
          </w:p>
        </w:tc>
      </w:tr>
      <w:tr>
        <w:tc>
          <w:tcPr>
            <w:tcW w:type="dxa" w:w="4320"/>
          </w:tcPr>
          <w:p>
            <w:r>
              <w:rPr>
                <w:sz w:val="18"/>
              </w:rPr>
              <w:t>Grant income</w:t>
            </w:r>
          </w:p>
        </w:tc>
        <w:tc>
          <w:tcPr>
            <w:tcW w:type="dxa" w:w="4320"/>
          </w:tcPr>
          <w:p>
            <w:r>
              <w:rPr>
                <w:sz w:val="18"/>
              </w:rPr>
              <w:t>$100,000</w:t>
            </w:r>
          </w:p>
        </w:tc>
      </w:tr>
      <w:tr>
        <w:tc>
          <w:tcPr>
            <w:tcW w:type="dxa" w:w="4320"/>
          </w:tcPr>
          <w:p>
            <w:r>
              <w:rPr>
                <w:sz w:val="18"/>
              </w:rPr>
              <w:t>Total</w:t>
            </w:r>
          </w:p>
        </w:tc>
        <w:tc>
          <w:tcPr>
            <w:tcW w:type="dxa" w:w="4320"/>
          </w:tcPr>
          <w:p>
            <w:r>
              <w:rPr>
                <w:sz w:val="18"/>
              </w:rPr>
              <w:t>$738,000</w:t>
            </w:r>
          </w:p>
        </w:tc>
      </w:tr>
    </w:tbl>
    <w:p/>
    <w:p>
      <w:r>
        <w:rPr>
          <w:b w:val="0"/>
          <w:i/>
          <w:sz w:val="22"/>
        </w:rPr>
        <w:t>Seed Round: $1.5M. Use of funds: team expansion, 3 new language launches, institutional sales, audio infrastructure. Investor profile: African edtech impact funds, diaspora-focused VCs, language preservation mission investors.</w:t>
      </w:r>
    </w:p>
    <w:p/>
    <w:p>
      <w:pPr>
        <w:pStyle w:val="Heading2"/>
        <w:jc w:val="left"/>
      </w:pPr>
      <w:r>
        <w:rPr>
          <w:color w:val="000000"/>
          <w:sz w:val="26"/>
        </w:rPr>
        <w:t>Grant Strategy</w:t>
      </w:r>
    </w:p>
    <w:p>
      <w:r>
        <w:rPr>
          <w:b w:val="0"/>
          <w:i w:val="0"/>
          <w:sz w:val="22"/>
        </w:rPr>
        <w:t>Grant income bridges the gap between content development costs and subscription revenue. The strategy is to build a track record with a small grant in Year 1 and pursue progressively larger awards as impact data accumulates.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Fund</w:t>
            </w:r>
          </w:p>
        </w:tc>
        <w:tc>
          <w:tcPr>
            <w:tcW w:type="dxa" w:w="2880"/>
          </w:tcPr>
          <w:p>
            <w:r>
              <w:rPr>
                <w:b/>
                <w:sz w:val="18"/>
              </w:rPr>
              <w:t>Grant Range</w:t>
            </w:r>
          </w:p>
        </w:tc>
        <w:tc>
          <w:tcPr>
            <w:tcW w:type="dxa" w:w="2880"/>
          </w:tcPr>
          <w:p>
            <w:r>
              <w:rPr>
                <w:b/>
                <w:sz w:val="18"/>
              </w:rPr>
              <w:t>Eligibility Trigger</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Endangered Language Fund</w:t>
            </w:r>
          </w:p>
        </w:tc>
        <w:tc>
          <w:tcPr>
            <w:tcW w:type="dxa" w:w="2880"/>
          </w:tcPr>
          <w:p>
            <w:r>
              <w:rPr>
                <w:sz w:val="18"/>
              </w:rPr>
              <w:t>$5,000–$25,000</w:t>
            </w:r>
          </w:p>
        </w:tc>
        <w:tc>
          <w:tcPr>
            <w:tcW w:type="dxa" w:w="2880"/>
          </w:tcPr>
          <w:p>
            <w:r>
              <w:rPr>
                <w:sz w:val="18"/>
              </w:rPr>
              <w:t>Izon course launch</w:t>
            </w:r>
          </w:p>
        </w:tc>
      </w:tr>
      <w:tr>
        <w:tc>
          <w:tcPr>
            <w:tcW w:type="dxa" w:w="2880"/>
          </w:tcPr>
          <w:p>
            <w:r>
              <w:rPr>
                <w:sz w:val="18"/>
              </w:rPr>
              <w:t>African Language Research Institute</w:t>
            </w:r>
          </w:p>
        </w:tc>
        <w:tc>
          <w:tcPr>
            <w:tcW w:type="dxa" w:w="2880"/>
          </w:tcPr>
          <w:p>
            <w:r>
              <w:rPr>
                <w:sz w:val="18"/>
              </w:rPr>
              <w:t>$10,000–$50,000</w:t>
            </w:r>
          </w:p>
        </w:tc>
        <w:tc>
          <w:tcPr>
            <w:tcW w:type="dxa" w:w="2880"/>
          </w:tcPr>
          <w:p>
            <w:r>
              <w:rPr>
                <w:sz w:val="18"/>
              </w:rPr>
              <w:t>Demonstrated community use</w:t>
            </w:r>
          </w:p>
        </w:tc>
      </w:tr>
      <w:tr>
        <w:tc>
          <w:tcPr>
            <w:tcW w:type="dxa" w:w="2880"/>
          </w:tcPr>
          <w:p>
            <w:r>
              <w:rPr>
                <w:sz w:val="18"/>
              </w:rPr>
              <w:t>NEH Preservation &amp; Access</w:t>
            </w:r>
          </w:p>
        </w:tc>
        <w:tc>
          <w:tcPr>
            <w:tcW w:type="dxa" w:w="2880"/>
          </w:tcPr>
          <w:p>
            <w:r>
              <w:rPr>
                <w:sz w:val="18"/>
              </w:rPr>
              <w:t>$50,000–$150,000</w:t>
            </w:r>
          </w:p>
        </w:tc>
        <w:tc>
          <w:tcPr>
            <w:tcW w:type="dxa" w:w="2880"/>
          </w:tcPr>
          <w:p>
            <w:r>
              <w:rPr>
                <w:sz w:val="18"/>
              </w:rPr>
              <w:t>Phase 2 — multi-language platform</w:t>
            </w:r>
          </w:p>
        </w:tc>
      </w:tr>
      <w:tr>
        <w:tc>
          <w:tcPr>
            <w:tcW w:type="dxa" w:w="2880"/>
          </w:tcPr>
          <w:p>
            <w:r>
              <w:rPr>
                <w:sz w:val="18"/>
              </w:rPr>
              <w:t>Ford / MacArthur Foundation</w:t>
            </w:r>
          </w:p>
        </w:tc>
        <w:tc>
          <w:tcPr>
            <w:tcW w:type="dxa" w:w="2880"/>
          </w:tcPr>
          <w:p>
            <w:r>
              <w:rPr>
                <w:sz w:val="18"/>
              </w:rPr>
              <w:t>$100,000–$500,000</w:t>
            </w:r>
          </w:p>
        </w:tc>
        <w:tc>
          <w:tcPr>
            <w:tcW w:type="dxa" w:w="2880"/>
          </w:tcPr>
          <w:p>
            <w:r>
              <w:rPr>
                <w:sz w:val="18"/>
              </w:rPr>
              <w:t>Phase 3 — proven model with data</w:t>
            </w:r>
          </w:p>
        </w:tc>
      </w:tr>
      <w:tr>
        <w:tc>
          <w:tcPr>
            <w:tcW w:type="dxa" w:w="2880"/>
          </w:tcPr>
          <w:p>
            <w:r>
              <w:rPr>
                <w:sz w:val="18"/>
              </w:rPr>
              <w:t>African Union cultural programs</w:t>
            </w:r>
          </w:p>
        </w:tc>
        <w:tc>
          <w:tcPr>
            <w:tcW w:type="dxa" w:w="2880"/>
          </w:tcPr>
          <w:p>
            <w:r>
              <w:rPr>
                <w:sz w:val="18"/>
              </w:rPr>
              <w:t>Varies</w:t>
            </w:r>
          </w:p>
        </w:tc>
        <w:tc>
          <w:tcPr>
            <w:tcW w:type="dxa" w:w="2880"/>
          </w:tcPr>
          <w:p>
            <w:r>
              <w:rPr>
                <w:sz w:val="18"/>
              </w:rPr>
              <w:t>Institutional partnerships established</w:t>
            </w:r>
          </w:p>
        </w:tc>
      </w:tr>
      <w:tr>
        <w:tc>
          <w:tcPr>
            <w:tcW w:type="dxa" w:w="2880"/>
          </w:tcPr>
          <w:p>
            <w:r>
              <w:rPr>
                <w:sz w:val="18"/>
              </w:rPr>
              <w:t>Diaspora impact funds (US/UK)</w:t>
            </w:r>
          </w:p>
        </w:tc>
        <w:tc>
          <w:tcPr>
            <w:tcW w:type="dxa" w:w="2880"/>
          </w:tcPr>
          <w:p>
            <w:r>
              <w:rPr>
                <w:sz w:val="18"/>
              </w:rPr>
              <w:t>$25,000–$100,000</w:t>
            </w:r>
          </w:p>
        </w:tc>
        <w:tc>
          <w:tcPr>
            <w:tcW w:type="dxa" w:w="2880"/>
          </w:tcPr>
          <w:p>
            <w:r>
              <w:rPr>
                <w:sz w:val="18"/>
              </w:rPr>
              <w:t>Community engagement metrics</w:t>
            </w:r>
          </w:p>
        </w:tc>
      </w:tr>
    </w:tbl>
    <w:p/>
    <w:p>
      <w:pPr>
        <w:pStyle w:val="Heading2"/>
        <w:jc w:val="left"/>
      </w:pPr>
      <w:r>
        <w:rPr>
          <w:color w:val="000000"/>
          <w:sz w:val="26"/>
        </w:rPr>
        <w:t>Cost Structure</w:t>
      </w:r>
    </w:p>
    <w:p>
      <w:pPr>
        <w:pStyle w:val="ListBullet"/>
      </w:pPr>
      <w:r>
        <w:rPr>
          <w:b/>
          <w:sz w:val="22"/>
        </w:rPr>
        <w:t xml:space="preserve">Infrastructure — </w:t>
      </w:r>
      <w:r>
        <w:rPr>
          <w:sz w:val="22"/>
        </w:rPr>
        <w:t>Cloud hosting, database, and CDN. Audio storage is the largest cost driver, managed through tiered storage and CDN optimization.</w:t>
      </w:r>
    </w:p>
    <w:p>
      <w:pPr>
        <w:pStyle w:val="ListBullet"/>
      </w:pPr>
      <w:r>
        <w:rPr>
          <w:b/>
          <w:sz w:val="22"/>
        </w:rPr>
        <w:t xml:space="preserve">Content Production — </w:t>
      </w:r>
      <w:r>
        <w:rPr>
          <w:sz w:val="22"/>
        </w:rPr>
        <w:t>Audio recording, editorial review, and bounty payouts. Highest during new language launches; decreases as content libraries mature.</w:t>
      </w:r>
    </w:p>
    <w:p>
      <w:pPr>
        <w:pStyle w:val="ListBullet"/>
      </w:pPr>
      <w:r>
        <w:rPr>
          <w:b/>
          <w:sz w:val="22"/>
        </w:rPr>
        <w:t xml:space="preserve">Team — </w:t>
      </w:r>
      <w:r>
        <w:rPr>
          <w:sz w:val="22"/>
        </w:rPr>
        <w:t>Engineering, product, and content operations. Lean and multi-functional early; growth-stage hiring targets content operations, community management, and institutional sales.</w:t>
      </w:r>
    </w:p>
    <w:p>
      <w:pPr>
        <w:pStyle w:val="ListBullet"/>
      </w:pPr>
      <w:r>
        <w:rPr>
          <w:b/>
          <w:sz w:val="22"/>
        </w:rPr>
        <w:t xml:space="preserve">Educator Incentives — </w:t>
      </w:r>
      <w:r>
        <w:rPr>
          <w:sz w:val="22"/>
        </w:rPr>
        <w:t>Bounty rewards and, eventually, educator revenue share. Scales directly with content quality and volume.</w:t>
      </w:r>
    </w:p>
    <w:p>
      <w:pPr>
        <w:pStyle w:val="Heading2"/>
        <w:jc w:val="left"/>
      </w:pPr>
      <w:r>
        <w:rPr>
          <w:color w:val="000000"/>
          <w:sz w:val="26"/>
        </w:rPr>
        <w:t>Contributor Compensation Model</w:t>
      </w:r>
    </w:p>
    <w:p>
      <w:r>
        <w:rPr>
          <w:b w:val="0"/>
          <w:i w:val="0"/>
          <w:sz w:val="22"/>
        </w:rPr>
        <w:t>In the early stages, contributors are compensated through a structured non-cash rewards system. Beeli Plus — free for contributors above a threshold — is the anchor reward, costing nothing in marginal terms but delivering clear platform value. Bounty credits accumulate and convert to cash payments when the educator revenue share program launches in Phase 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Threshold</w:t>
            </w:r>
          </w:p>
        </w:tc>
        <w:tc>
          <w:tcPr>
            <w:tcW w:type="dxa" w:w="2880"/>
          </w:tcPr>
          <w:p>
            <w:r>
              <w:rPr>
                <w:b/>
                <w:sz w:val="18"/>
              </w:rPr>
              <w:t>Rewards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Contributor</w:t>
            </w:r>
          </w:p>
        </w:tc>
        <w:tc>
          <w:tcPr>
            <w:tcW w:type="dxa" w:w="2880"/>
          </w:tcPr>
          <w:p>
            <w:r>
              <w:rPr>
                <w:sz w:val="18"/>
              </w:rPr>
              <w:t>1 accepted entry</w:t>
            </w:r>
          </w:p>
        </w:tc>
        <w:tc>
          <w:tcPr>
            <w:tcW w:type="dxa" w:w="2880"/>
          </w:tcPr>
          <w:p>
            <w:r>
              <w:rPr>
                <w:sz w:val="18"/>
              </w:rPr>
              <w:t>Badge, permanent attribution, XP</w:t>
            </w:r>
          </w:p>
        </w:tc>
      </w:tr>
      <w:tr>
        <w:tc>
          <w:tcPr>
            <w:tcW w:type="dxa" w:w="2880"/>
          </w:tcPr>
          <w:p>
            <w:r>
              <w:rPr>
                <w:sz w:val="18"/>
              </w:rPr>
              <w:t>Active Contributor</w:t>
            </w:r>
          </w:p>
        </w:tc>
        <w:tc>
          <w:tcPr>
            <w:tcW w:type="dxa" w:w="2880"/>
          </w:tcPr>
          <w:p>
            <w:r>
              <w:rPr>
                <w:sz w:val="18"/>
              </w:rPr>
              <w:t>25 accepted entries</w:t>
            </w:r>
          </w:p>
        </w:tc>
        <w:tc>
          <w:tcPr>
            <w:tcW w:type="dxa" w:w="2880"/>
          </w:tcPr>
          <w:p>
            <w:r>
              <w:rPr>
                <w:sz w:val="18"/>
              </w:rPr>
              <w:t>Leaderboard placement, Beeli Plus free</w:t>
            </w:r>
          </w:p>
        </w:tc>
      </w:tr>
      <w:tr>
        <w:tc>
          <w:tcPr>
            <w:tcW w:type="dxa" w:w="2880"/>
          </w:tcPr>
          <w:p>
            <w:r>
              <w:rPr>
                <w:sz w:val="18"/>
              </w:rPr>
              <w:t>Language Builder</w:t>
            </w:r>
          </w:p>
        </w:tc>
        <w:tc>
          <w:tcPr>
            <w:tcW w:type="dxa" w:w="2880"/>
          </w:tcPr>
          <w:p>
            <w:r>
              <w:rPr>
                <w:sz w:val="18"/>
              </w:rPr>
              <w:t>100 accepted entries</w:t>
            </w:r>
          </w:p>
        </w:tc>
        <w:tc>
          <w:tcPr>
            <w:tcW w:type="dxa" w:w="2880"/>
          </w:tcPr>
          <w:p>
            <w:r>
              <w:rPr>
                <w:sz w:val="18"/>
              </w:rPr>
              <w:t>Verified title, early access, reviewer eligibility</w:t>
            </w:r>
          </w:p>
        </w:tc>
      </w:tr>
      <w:tr>
        <w:tc>
          <w:tcPr>
            <w:tcW w:type="dxa" w:w="2880"/>
          </w:tcPr>
          <w:p>
            <w:r>
              <w:rPr>
                <w:sz w:val="18"/>
              </w:rPr>
              <w:t>Language Custodian</w:t>
            </w:r>
          </w:p>
        </w:tc>
        <w:tc>
          <w:tcPr>
            <w:tcW w:type="dxa" w:w="2880"/>
          </w:tcPr>
          <w:p>
            <w:r>
              <w:rPr>
                <w:sz w:val="18"/>
              </w:rPr>
              <w:t>250+ accepted entries</w:t>
            </w:r>
          </w:p>
        </w:tc>
        <w:tc>
          <w:tcPr>
            <w:tcW w:type="dxa" w:w="2880"/>
          </w:tcPr>
          <w:p>
            <w:r>
              <w:rPr>
                <w:sz w:val="18"/>
              </w:rPr>
              <w:t>Custodian title, mentor role, revenue share priority</w:t>
            </w:r>
          </w:p>
        </w:tc>
      </w:tr>
    </w:tbl>
    <w:p/>
    <w:p>
      <w:pPr>
        <w:pStyle w:val="Heading2"/>
        <w:jc w:val="left"/>
      </w:pPr>
      <w:r>
        <w:rPr>
          <w:color w:val="000000"/>
          <w:sz w:val="26"/>
        </w:rPr>
        <w:t>Devekeme's Return</w:t>
      </w:r>
    </w:p>
    <w:p>
      <w:pPr>
        <w:pStyle w:val="ListBullet"/>
      </w:pPr>
      <w:r>
        <w:rPr>
          <w:b/>
          <w:sz w:val="22"/>
        </w:rPr>
        <w:t xml:space="preserve">Phase 1–2 — </w:t>
      </w:r>
      <w:r>
        <w:rPr>
          <w:sz w:val="22"/>
        </w:rPr>
        <w:t>Devekeme absorbs development costs as a capital contribution in exchange for founding equity in Aurufie as a standalone entity.</w:t>
      </w:r>
    </w:p>
    <w:p>
      <w:pPr>
        <w:pStyle w:val="ListBullet"/>
      </w:pPr>
      <w:r>
        <w:rPr>
          <w:b/>
          <w:sz w:val="22"/>
        </w:rPr>
        <w:t xml:space="preserve">Phase 3+ — </w:t>
      </w:r>
      <w:r>
        <w:rPr>
          <w:sz w:val="22"/>
        </w:rPr>
        <w:t>Devekeme earns a management and platform fee (5–10% of revenue) for ongoing engineering, infrastructure, and product support.</w:t>
      </w:r>
    </w:p>
    <w:p>
      <w:pPr>
        <w:pStyle w:val="ListBullet"/>
      </w:pPr>
      <w:r>
        <w:rPr>
          <w:b/>
          <w:sz w:val="22"/>
        </w:rPr>
        <w:t xml:space="preserve">Seed Round — </w:t>
      </w:r>
      <w:r>
        <w:rPr>
          <w:sz w:val="22"/>
        </w:rPr>
        <w:t>Devekeme's founding equity stake is priced at the round.</w:t>
      </w:r>
    </w:p>
    <w:p>
      <w:pPr>
        <w:pStyle w:val="ListBullet"/>
      </w:pPr>
      <w:r>
        <w:rPr>
          <w:b/>
          <w:sz w:val="22"/>
        </w:rPr>
        <w:t xml:space="preserve">Long-Term — </w:t>
      </w:r>
      <w:r>
        <w:rPr>
          <w:sz w:val="22"/>
        </w:rPr>
        <w:t>Aurufie operates as an independent entity with Devekeme as its technical and strategic partner, retaining an equity position and service relationship.</w:t>
      </w:r>
    </w:p>
    <w:p>
      <w:pPr>
        <w:pStyle w:val="Heading2"/>
        <w:jc w:val="left"/>
      </w:pPr>
      <w:r>
        <w:rPr>
          <w:color w:val="000000"/>
          <w:sz w:val="26"/>
        </w:rPr>
        <w:t>Key Assumptions and Risks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Assumption</w:t>
            </w:r>
          </w:p>
        </w:tc>
        <w:tc>
          <w:tcPr>
            <w:tcW w:type="dxa" w:w="2880"/>
          </w:tcPr>
          <w:p>
            <w:r>
              <w:rPr>
                <w:b/>
                <w:sz w:val="18"/>
              </w:rPr>
              <w:t>Risk</w:t>
            </w:r>
          </w:p>
        </w:tc>
        <w:tc>
          <w:tcPr>
            <w:tcW w:type="dxa" w:w="2880"/>
          </w:tcPr>
          <w:p>
            <w:r>
              <w:rPr>
                <w:b/>
                <w:sz w:val="18"/>
              </w:rPr>
              <w:t>Mitigation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4–7% freemium conversion</w:t>
            </w:r>
          </w:p>
        </w:tc>
        <w:tc>
          <w:tcPr>
            <w:tcW w:type="dxa" w:w="2880"/>
          </w:tcPr>
          <w:p>
            <w:r>
              <w:rPr>
                <w:sz w:val="18"/>
              </w:rPr>
              <w:t>Diaspora audience motivated but may not pay for niche content</w:t>
            </w:r>
          </w:p>
        </w:tc>
        <w:tc>
          <w:tcPr>
            <w:tcW w:type="dxa" w:w="2880"/>
          </w:tcPr>
          <w:p>
            <w:r>
              <w:rPr>
                <w:sz w:val="18"/>
              </w:rPr>
              <w:t>Content quality is the conversion lever — Beeli Plus must feel worth it</w:t>
            </w:r>
          </w:p>
        </w:tc>
      </w:tr>
      <w:tr>
        <w:tc>
          <w:tcPr>
            <w:tcW w:type="dxa" w:w="2880"/>
          </w:tcPr>
          <w:p>
            <w:r>
              <w:rPr>
                <w:sz w:val="18"/>
              </w:rPr>
              <w:t>Grant income supplements subscriptions</w:t>
            </w:r>
          </w:p>
        </w:tc>
        <w:tc>
          <w:tcPr>
            <w:tcW w:type="dxa" w:w="2880"/>
          </w:tcPr>
          <w:p>
            <w:r>
              <w:rPr>
                <w:sz w:val="18"/>
              </w:rPr>
              <w:t>Grants are competitive and slow</w:t>
            </w:r>
          </w:p>
        </w:tc>
        <w:tc>
          <w:tcPr>
            <w:tcW w:type="dxa" w:w="2880"/>
          </w:tcPr>
          <w:p>
            <w:r>
              <w:rPr>
                <w:sz w:val="18"/>
              </w:rPr>
              <w:t>Apply early, apply with data, maintain parallel applications</w:t>
            </w:r>
          </w:p>
        </w:tc>
      </w:tr>
      <w:tr>
        <w:tc>
          <w:tcPr>
            <w:tcW w:type="dxa" w:w="2880"/>
          </w:tcPr>
          <w:p>
            <w:r>
              <w:rPr>
                <w:sz w:val="18"/>
              </w:rPr>
              <w:t>MAU 5× growth per year (Years 1–3)</w:t>
            </w:r>
          </w:p>
        </w:tc>
        <w:tc>
          <w:tcPr>
            <w:tcW w:type="dxa" w:w="2880"/>
          </w:tcPr>
          <w:p>
            <w:r>
              <w:rPr>
                <w:sz w:val="18"/>
              </w:rPr>
              <w:t>Community-first growth is slower than paid acquisition</w:t>
            </w:r>
          </w:p>
        </w:tc>
        <w:tc>
          <w:tcPr>
            <w:tcW w:type="dxa" w:w="2880"/>
          </w:tcPr>
          <w:p>
            <w:r>
              <w:rPr>
                <w:sz w:val="18"/>
              </w:rPr>
              <w:t>Creator partnerships in Year 3 are the primary growth accelerant</w:t>
            </w:r>
          </w:p>
        </w:tc>
      </w:tr>
      <w:tr>
        <w:tc>
          <w:tcPr>
            <w:tcW w:type="dxa" w:w="2880"/>
          </w:tcPr>
          <w:p>
            <w:r>
              <w:rPr>
                <w:sz w:val="18"/>
              </w:rPr>
              <w:t>Infrastructure costs stay manageable</w:t>
            </w:r>
          </w:p>
        </w:tc>
        <w:tc>
          <w:tcPr>
            <w:tcW w:type="dxa" w:w="2880"/>
          </w:tcPr>
          <w:p>
            <w:r>
              <w:rPr>
                <w:sz w:val="18"/>
              </w:rPr>
              <w:t>Audio storage scales fast</w:t>
            </w:r>
          </w:p>
        </w:tc>
        <w:tc>
          <w:tcPr>
            <w:tcW w:type="dxa" w:w="2880"/>
          </w:tcPr>
          <w:p>
            <w:r>
              <w:rPr>
                <w:sz w:val="18"/>
              </w:rPr>
              <w:t>Tiered storage architecture and CDN optimization from Day 1</w:t>
            </w:r>
          </w:p>
        </w:tc>
      </w:tr>
      <w:tr>
        <w:tc>
          <w:tcPr>
            <w:tcW w:type="dxa" w:w="2880"/>
          </w:tcPr>
          <w:p>
            <w:r>
              <w:rPr>
                <w:sz w:val="18"/>
              </w:rPr>
              <w:t>Institutional deals close in Year 2</w:t>
            </w:r>
          </w:p>
        </w:tc>
        <w:tc>
          <w:tcPr>
            <w:tcW w:type="dxa" w:w="2880"/>
          </w:tcPr>
          <w:p>
            <w:r>
              <w:rPr>
                <w:sz w:val="18"/>
              </w:rPr>
              <w:t>Education sales cycles are 6–18 months</w:t>
            </w:r>
          </w:p>
        </w:tc>
        <w:tc>
          <w:tcPr>
            <w:tcW w:type="dxa" w:w="2880"/>
          </w:tcPr>
          <w:p>
            <w:r>
              <w:rPr>
                <w:sz w:val="18"/>
              </w:rPr>
              <w:t>Begin relationship-building in Year 1 before formal pitch</w:t>
            </w:r>
          </w:p>
        </w:tc>
      </w:tr>
    </w:tbl>
    <w:p/>
    <w:p>
      <w:pPr>
        <w:pStyle w:val="Heading1"/>
        <w:jc w:val="left"/>
      </w:pPr>
      <w:r>
        <w:rPr>
          <w:color w:val="000000"/>
          <w:sz w:val="32"/>
        </w:rPr>
        <w:t>Call to Action</w:t>
      </w:r>
    </w:p>
    <w:p>
      <w:r>
        <w:rPr>
          <w:b/>
          <w:i w:val="0"/>
          <w:sz w:val="22"/>
        </w:rPr>
        <w:t>Every recording matters.</w:t>
      </w:r>
    </w:p>
    <w:p>
      <w:r>
        <w:rPr>
          <w:b/>
          <w:i w:val="0"/>
          <w:sz w:val="22"/>
        </w:rPr>
        <w:t>Every lesson matters.</w:t>
      </w:r>
    </w:p>
    <w:p>
      <w:r>
        <w:rPr>
          <w:b/>
          <w:i w:val="0"/>
          <w:sz w:val="22"/>
        </w:rPr>
        <w:t>Every story matters.</w:t>
      </w:r>
    </w:p>
    <w:p>
      <w:r>
        <w:rPr>
          <w:b/>
          <w:i w:val="0"/>
          <w:sz w:val="22"/>
        </w:rPr>
        <w:t>Every contribution matters.</w:t>
      </w:r>
    </w:p>
    <w:p>
      <w:r>
        <w:rPr>
          <w:b w:val="0"/>
          <w:i w:val="0"/>
          <w:sz w:val="22"/>
        </w:rPr>
        <w:t>Together, we can ensure that languages are not only preserved, but actively learned, shared, and lived.</w:t>
      </w:r>
    </w:p>
    <w:p>
      <w:r>
        <w:rPr>
          <w:b w:val="0"/>
          <w:i w:val="0"/>
          <w:sz w:val="22"/>
        </w:rPr>
        <w:t>The work of preservation is not about protecting the past. It is about equipping future generations with the knowledge, language, and cultural understanding they deserve to inherit.</w:t>
      </w:r>
    </w:p>
    <w:p/>
    <w:p>
      <w:r>
        <w:rPr>
          <w:i/>
          <w:color w:val="646464"/>
          <w:sz w:val="20"/>
        </w:rPr>
        <w:t>To get involved, consult the Educator Guide. To understand content standards, consult the Content Standards document. To reach the team directly: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