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beeli-competitive-landscape-positioning"/>
    <w:p>
      <w:pPr>
        <w:pStyle w:val="Heading1"/>
      </w:pPr>
      <w:r>
        <w:t xml:space="preserve">Beeli — Competitive Landscape &amp; Positioning</w:t>
      </w:r>
    </w:p>
    <w:p>
      <w:pPr>
        <w:pStyle w:val="FirstParagraph"/>
      </w:pPr>
      <w:r>
        <w:rPr>
          <w:i/>
          <w:iCs/>
        </w:rPr>
        <w:t xml:space="preserve">Distilled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docs/marketing-strategy.md</w:t>
      </w:r>
      <w:r>
        <w:rPr>
          <w:i/>
          <w:iCs/>
        </w:rPr>
        <w:t xml:space="preserve"> </w:t>
      </w:r>
      <w:r>
        <w:rPr>
          <w:i/>
          <w:iCs/>
        </w:rPr>
        <w:t xml:space="preserve">§2, §4. Paired with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beeli-marketing</w:t>
      </w:r>
      <w:r>
        <w:rPr>
          <w:i/>
          <w:iCs/>
        </w:rPr>
        <w:t xml:space="preserve"> </w:t>
      </w:r>
      <w:r>
        <w:rPr>
          <w:i/>
          <w:iCs/>
        </w:rPr>
        <w:t xml:space="preserve">skill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beeli-skill/references/language-catalog.md</w:t>
      </w:r>
      <w:r>
        <w:rPr>
          <w:i/>
          <w:iCs/>
        </w:rPr>
        <w:t xml:space="preserve">.</w:t>
      </w:r>
    </w:p>
    <w:bookmarkStart w:id="9" w:name="positioning-statement"/>
    <w:p>
      <w:pPr>
        <w:pStyle w:val="Heading2"/>
      </w:pPr>
      <w:r>
        <w:t xml:space="preserve">Positioning statement</w:t>
      </w:r>
    </w:p>
    <w:p>
      <w:pPr>
        <w:pStyle w:val="BlockText"/>
      </w:pPr>
      <w:r>
        <w:t xml:space="preserve">For diaspora communities and African language learners worldwide who want to</w:t>
      </w:r>
      <w:r>
        <w:t xml:space="preserve"> </w:t>
      </w:r>
      <w:r>
        <w:t xml:space="preserve">reconnect with or preserve their mother tongue,</w:t>
      </w:r>
      <w:r>
        <w:t xml:space="preserve"> </w:t>
      </w:r>
      <w:r>
        <w:rPr>
          <w:b/>
          <w:bCs/>
        </w:rPr>
        <w:t xml:space="preserve">Beeli</w:t>
      </w:r>
      <w:r>
        <w:t xml:space="preserve"> </w:t>
      </w:r>
      <w:r>
        <w:t xml:space="preserve">is the audio-first</w:t>
      </w:r>
      <w:r>
        <w:t xml:space="preserve"> </w:t>
      </w:r>
      <w:r>
        <w:t xml:space="preserve">African language platform that covers 70+ languages with cultural depth no</w:t>
      </w:r>
      <w:r>
        <w:t xml:space="preserve"> </w:t>
      </w:r>
      <w:r>
        <w:t xml:space="preserve">competitor touches — unlike Duolingo, Memrise, and Pimsleur, which treat African</w:t>
      </w:r>
      <w:r>
        <w:t xml:space="preserve"> </w:t>
      </w:r>
      <w:r>
        <w:t xml:space="preserve">languages as a shallow, text-first side category.</w:t>
      </w:r>
    </w:p>
    <w:bookmarkEnd w:id="9"/>
    <w:bookmarkStart w:id="10" w:name="the-killer-fact"/>
    <w:p>
      <w:pPr>
        <w:pStyle w:val="Heading2"/>
      </w:pPr>
      <w:r>
        <w:t xml:space="preserve">The killer fact</w:t>
      </w:r>
    </w:p>
    <w:p>
      <w:pPr>
        <w:pStyle w:val="FirstParagraph"/>
      </w:pPr>
      <w:r>
        <w:rPr>
          <w:b/>
          <w:bCs/>
        </w:rPr>
        <w:t xml:space="preserve">Duolingo covers 4 African languages. Beeli covers 70+.</w:t>
      </w:r>
      <w:r>
        <w:t xml:space="preserve"> </w:t>
      </w:r>
      <w:r>
        <w:t xml:space="preserve">Verifiable, emotionally</w:t>
      </w:r>
      <w:r>
        <w:t xml:space="preserve"> </w:t>
      </w:r>
      <w:r>
        <w:t xml:space="preserve">resonant, impossible to counter quickly. It belongs in every press subject line,</w:t>
      </w:r>
      <w:r>
        <w:t xml:space="preserve"> </w:t>
      </w:r>
      <w:r>
        <w:t xml:space="preserve">ad headline, and store description.</w:t>
      </w:r>
    </w:p>
    <w:bookmarkEnd w:id="10"/>
    <w:bookmarkStart w:id="11" w:name="the-threat-model"/>
    <w:p>
      <w:pPr>
        <w:pStyle w:val="Heading2"/>
      </w:pPr>
      <w:r>
        <w:t xml:space="preserve">The threat model</w:t>
      </w:r>
    </w:p>
    <w:p>
      <w:pPr>
        <w:pStyle w:val="FirstParagraph"/>
      </w:pPr>
      <w:r>
        <w:t xml:space="preserve">Beeli faces</w:t>
      </w:r>
      <w:r>
        <w:t xml:space="preserve"> </w:t>
      </w:r>
      <w:r>
        <w:rPr>
          <w:b/>
          <w:bCs/>
        </w:rPr>
        <w:t xml:space="preserve">no direct competitor</w:t>
      </w:r>
      <w:r>
        <w:t xml:space="preserve"> </w:t>
      </w:r>
      <w:r>
        <w:t xml:space="preserve">on African languages. The risk is a legacy</w:t>
      </w:r>
      <w:r>
        <w:t xml:space="preserve"> </w:t>
      </w:r>
      <w:r>
        <w:t xml:space="preserve">platform diluting the category, not a rival taking share. So: don’t compete on</w:t>
      </w:r>
      <w:r>
        <w:t xml:space="preserve"> </w:t>
      </w:r>
      <w:r>
        <w:t xml:space="preserve">gamification mechanics — compete on</w:t>
      </w:r>
      <w:r>
        <w:t xml:space="preserve"> </w:t>
      </w:r>
      <w:r>
        <w:rPr>
          <w:b/>
          <w:bCs/>
        </w:rPr>
        <w:t xml:space="preserve">authenticity and breadth</w:t>
      </w:r>
      <w:r>
        <w:t xml:space="preserve">.</w:t>
      </w:r>
    </w:p>
    <w:bookmarkEnd w:id="11"/>
    <w:bookmarkStart w:id="12" w:name="competitor-comparison"/>
    <w:p>
      <w:pPr>
        <w:pStyle w:val="Heading2"/>
      </w:pPr>
      <w:r>
        <w:t xml:space="preserve">Competitor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Beeli</w:t>
            </w:r>
          </w:p>
        </w:tc>
        <w:tc>
          <w:tcPr/>
          <w:p>
            <w:pPr>
              <w:pStyle w:val="Compact"/>
            </w:pPr>
            <w:r>
              <w:t xml:space="preserve">Duolingo</w:t>
            </w:r>
          </w:p>
        </w:tc>
        <w:tc>
          <w:tcPr/>
          <w:p>
            <w:pPr>
              <w:pStyle w:val="Compact"/>
            </w:pPr>
            <w:r>
              <w:t xml:space="preserve">Memrise</w:t>
            </w:r>
          </w:p>
        </w:tc>
        <w:tc>
          <w:tcPr/>
          <w:p>
            <w:pPr>
              <w:pStyle w:val="Compact"/>
            </w:pPr>
            <w:r>
              <w:t xml:space="preserve">Pimsleur</w:t>
            </w:r>
          </w:p>
        </w:tc>
        <w:tc>
          <w:tcPr/>
          <w:p>
            <w:pPr>
              <w:pStyle w:val="Compact"/>
            </w:pPr>
            <w:r>
              <w:t xml:space="preserve">Rosetta Stone</w:t>
            </w:r>
          </w:p>
        </w:tc>
        <w:tc>
          <w:tcPr/>
          <w:p>
            <w:pPr>
              <w:pStyle w:val="Compact"/>
            </w:pPr>
            <w:r>
              <w:t xml:space="preserve">Ling / uTalk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African languages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70+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~8</w:t>
            </w:r>
          </w:p>
        </w:tc>
        <w:tc>
          <w:tcPr/>
          <w:p>
            <w:pPr>
              <w:pStyle w:val="Compact"/>
            </w:pPr>
            <w:r>
              <w:t xml:space="preserve">~3</w:t>
            </w:r>
          </w:p>
        </w:tc>
        <w:tc>
          <w:tcPr/>
          <w:p>
            <w:pPr>
              <w:pStyle w:val="Compact"/>
            </w:pPr>
            <w:r>
              <w:t xml:space="preserve">~2</w:t>
            </w:r>
          </w:p>
        </w:tc>
        <w:tc>
          <w:tcPr/>
          <w:p>
            <w:pPr>
              <w:pStyle w:val="Compact"/>
            </w:pPr>
            <w:r>
              <w:t xml:space="preserve">~5–10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Audio-first design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Cultural depth</w:t>
            </w:r>
          </w:p>
        </w:tc>
        <w:tc>
          <w:tcPr/>
          <w:p>
            <w:pPr>
              <w:pStyle w:val="Compact"/>
            </w:pPr>
            <w:r>
              <w:t xml:space="preserve">Yes (Adinkra, Ge’ez, proverbs)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 contributions</w:t>
            </w:r>
          </w:p>
        </w:tc>
        <w:tc>
          <w:tcPr/>
          <w:p>
            <w:pPr>
              <w:pStyle w:val="Compact"/>
            </w:pPr>
            <w:r>
              <w:t xml:space="preserve">Yes (bounties)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Educator tools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Schools product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tier</w:t>
            </w:r>
          </w:p>
        </w:tc>
        <w:tc>
          <w:tcPr/>
          <w:p>
            <w:pPr>
              <w:pStyle w:val="Compact"/>
            </w:pPr>
            <w:r>
              <w:t xml:space="preserve">All features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Freemium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Multiplayer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Free / $6.99/mo</w:t>
            </w:r>
          </w:p>
        </w:tc>
        <w:tc>
          <w:tcPr/>
          <w:p>
            <w:pPr>
              <w:pStyle w:val="Compact"/>
            </w:pPr>
            <w:r>
              <w:t xml:space="preserve">Free / $8.99/mo</w:t>
            </w:r>
          </w:p>
        </w:tc>
        <w:tc>
          <w:tcPr/>
          <w:p>
            <w:pPr>
              <w:pStyle w:val="Compact"/>
            </w:pPr>
            <w:r>
              <w:t xml:space="preserve">$20.95/mo</w:t>
            </w:r>
          </w:p>
        </w:tc>
        <w:tc>
          <w:tcPr/>
          <w:p>
            <w:pPr>
              <w:pStyle w:val="Compact"/>
            </w:pPr>
            <w:r>
              <w:t xml:space="preserve">$11.99/mo</w:t>
            </w:r>
          </w:p>
        </w:tc>
        <w:tc>
          <w:tcPr/>
          <w:p>
            <w:pPr>
              <w:pStyle w:val="Compact"/>
            </w:pPr>
            <w:r>
              <w:t xml:space="preserve">$5.99+/lang</w:t>
            </w:r>
          </w:p>
        </w:tc>
      </w:tr>
    </w:tbl>
    <w:bookmarkEnd w:id="12"/>
    <w:bookmarkStart w:id="13" w:name="the-three-differentiators-to-lead-with"/>
    <w:p>
      <w:pPr>
        <w:pStyle w:val="Heading2"/>
      </w:pPr>
      <w:r>
        <w:t xml:space="preserve">The three differentiators to lead with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Breadth without sacrificing depth</w:t>
      </w:r>
      <w:r>
        <w:t xml:space="preserve"> </w:t>
      </w:r>
      <w:r>
        <w:t xml:space="preserve">— Niger Delta (Izon, Isoko, Urhobo,</w:t>
      </w:r>
      <w:r>
        <w:t xml:space="preserve"> </w:t>
      </w:r>
      <w:r>
        <w:t xml:space="preserve">Itsekiri, Nembe), endangered (Ogoni/Khana, Tamazight, Coptic, Margi), and East</w:t>
      </w:r>
      <w:r>
        <w:t xml:space="preserve"> </w:t>
      </w:r>
      <w:r>
        <w:t xml:space="preserve">African scripts (Ge’ez) alongside Yoruba, Igbo, Hausa, Swahili.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Community contribution as moat</w:t>
      </w:r>
      <w:r>
        <w:t xml:space="preserve"> </w:t>
      </w:r>
      <w:r>
        <w:t xml:space="preserve">— no other app compensates native speakers</w:t>
      </w:r>
      <w:r>
        <w:t xml:space="preserve"> </w:t>
      </w:r>
      <w:r>
        <w:t xml:space="preserve">(in XP) to build the database in real time. Product differentiator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media story.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Endangered-language preservation</w:t>
      </w:r>
      <w:r>
        <w:t xml:space="preserve"> </w:t>
      </w:r>
      <w:r>
        <w:t xml:space="preserve">— a mission that earns editorial coverage</w:t>
      </w:r>
      <w:r>
        <w:t xml:space="preserve"> </w:t>
      </w:r>
      <w:r>
        <w:t xml:space="preserve">no paid campaign can buy.</w:t>
      </w:r>
    </w:p>
    <w:bookmarkEnd w:id="13"/>
    <w:bookmarkStart w:id="14" w:name="brand-frame"/>
    <w:p>
      <w:pPr>
        <w:pStyle w:val="Heading2"/>
      </w:pPr>
      <w:r>
        <w:t xml:space="preserve">Brand frame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Voice:</w:t>
      </w:r>
      <w:r>
        <w:t xml:space="preserve"> </w:t>
      </w:r>
      <w:r>
        <w:t xml:space="preserve">warm but not patronizing · culturally grounded · precise about</w:t>
      </w:r>
      <w:r>
        <w:t xml:space="preserve"> </w:t>
      </w:r>
      <w:r>
        <w:t xml:space="preserve">language (name it) · aspirational without hustle-culture.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Taglines:</w:t>
      </w:r>
      <w:r>
        <w:t xml:space="preserve"> </w:t>
      </w:r>
      <w:r>
        <w:t xml:space="preserve">“Your language, your roots.”</w:t>
      </w:r>
      <w:r>
        <w:t xml:space="preserve"> </w:t>
      </w:r>
      <w:r>
        <w:t xml:space="preserve">(diaspora) ·</w:t>
      </w:r>
      <w:r>
        <w:t xml:space="preserve"> </w:t>
      </w:r>
      <w:r>
        <w:t xml:space="preserve">“Learn African</w:t>
      </w:r>
      <w:r>
        <w:t xml:space="preserve"> </w:t>
      </w:r>
      <w:r>
        <w:t xml:space="preserve">languages, interactively.”</w:t>
      </w:r>
      <w:r>
        <w:t xml:space="preserve"> </w:t>
      </w:r>
      <w:r>
        <w:t xml:space="preserve">(educators).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Never:</w:t>
      </w:r>
      <w:r>
        <w:t xml:space="preserve"> </w:t>
      </w:r>
      <w:r>
        <w:t xml:space="preserve">homogenize Africa, use</w:t>
      </w:r>
      <w:r>
        <w:t xml:space="preserve"> </w:t>
      </w:r>
      <w:r>
        <w:t xml:space="preserve">“exotic,”</w:t>
      </w:r>
      <w:r>
        <w:t xml:space="preserve"> </w:t>
      </w:r>
      <w:r>
        <w:t xml:space="preserve">safari/wildlife imagery, or remedial framing.</w:t>
      </w:r>
    </w:p>
    <w:bookmarkEnd w:id="14"/>
    <w:bookmarkStart w:id="15" w:name="strategic-implication"/>
    <w:p>
      <w:pPr>
        <w:pStyle w:val="Heading2"/>
      </w:pPr>
      <w:r>
        <w:t xml:space="preserve">Strategic implication</w:t>
      </w:r>
    </w:p>
    <w:p>
      <w:pPr>
        <w:pStyle w:val="FirstParagraph"/>
      </w:pPr>
      <w:r>
        <w:t xml:space="preserve">Duolingo’s Yoruba course was made by a small team. Beeli’s Izon content is built</w:t>
      </w:r>
      <w:r>
        <w:t xml:space="preserve"> </w:t>
      </w:r>
      <w:r>
        <w:t xml:space="preserve">by the Izon community itself. That distinction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marketing story.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2026-06-07T22:43:07Z</dcterms:created>
  <dcterms:modified xsi:type="dcterms:W3CDTF">2026-06-07T22:43:07Z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