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beeli-growth-strategy"/>
    <w:p>
      <w:pPr>
        <w:pStyle w:val="Heading1"/>
      </w:pPr>
      <w:r>
        <w:t xml:space="preserve">Beeli — Growth Strategy</w:t>
      </w:r>
    </w:p>
    <w:p>
      <w:pPr>
        <w:pStyle w:val="FirstParagraph"/>
      </w:pPr>
      <w:r>
        <w:rPr>
          <w:i/>
          <w:iCs/>
        </w:rPr>
        <w:t xml:space="preserve">Distilled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docs/marketing-strategy.md</w:t>
      </w:r>
      <w:r>
        <w:rPr>
          <w:i/>
          <w:iCs/>
        </w:rPr>
        <w:t xml:space="preserve"> </w:t>
      </w:r>
      <w:r>
        <w:rPr>
          <w:i/>
          <w:iCs/>
        </w:rPr>
        <w:t xml:space="preserve">§3, §6, §7, §10, §13. Decision-grade</w:t>
      </w:r>
      <w:r>
        <w:rPr>
          <w:i/>
          <w:iCs/>
        </w:rPr>
        <w:t xml:space="preserve"> </w:t>
      </w:r>
      <w:r>
        <w:rPr>
          <w:i/>
          <w:iCs/>
        </w:rPr>
        <w:t xml:space="preserve">summary; the marketing doc is the comprehensive source.</w:t>
      </w:r>
    </w:p>
    <w:bookmarkStart w:id="9" w:name="the-bet"/>
    <w:p>
      <w:pPr>
        <w:pStyle w:val="Heading2"/>
      </w:pPr>
      <w:r>
        <w:t xml:space="preserve">The bet</w:t>
      </w:r>
    </w:p>
    <w:p>
      <w:pPr>
        <w:pStyle w:val="FirstParagraph"/>
      </w:pPr>
      <w:r>
        <w:t xml:space="preserve">Own the category before a funded competitor notices it exists. Beeli is the only</w:t>
      </w:r>
      <w:r>
        <w:t xml:space="preserve"> </w:t>
      </w:r>
      <w:r>
        <w:t xml:space="preserve">audio-first platform built for African languages (70+ vs Duolingo’s 4), and the</w:t>
      </w:r>
      <w:r>
        <w:t xml:space="preserve"> </w:t>
      </w:r>
      <w:r>
        <w:t xml:space="preserve">diaspora’s reconnection motive produces higher retention than hobby-language</w:t>
      </w:r>
      <w:r>
        <w:t xml:space="preserve"> </w:t>
      </w:r>
      <w:r>
        <w:t xml:space="preserve">learning. Win by converting that motivation into zero-CAC, community-powered</w:t>
      </w:r>
      <w:r>
        <w:t xml:space="preserve"> </w:t>
      </w:r>
      <w:r>
        <w:t xml:space="preserve">growth.</w:t>
      </w:r>
    </w:p>
    <w:bookmarkEnd w:id="9"/>
    <w:bookmarkStart w:id="10" w:name="three-priorities"/>
    <w:p>
      <w:pPr>
        <w:pStyle w:val="Heading2"/>
      </w:pPr>
      <w:r>
        <w:t xml:space="preserve">Three priorities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 the category</w:t>
      </w:r>
      <w:r>
        <w:t xml:space="preserve"> </w:t>
      </w:r>
      <w:r>
        <w:t xml:space="preserve">— SEO, PR, and community partnerships establish Beeli as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African language platform.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Convert motivation into virality</w:t>
      </w:r>
      <w:r>
        <w:t xml:space="preserve"> </w:t>
      </w:r>
      <w:r>
        <w:t xml:space="preserve">— share cards, proverbs, and achievements</w:t>
      </w:r>
      <w:r>
        <w:t xml:space="preserve"> </w:t>
      </w:r>
      <w:r>
        <w:t xml:space="preserve">turn emotional moments into acquisition at no media spend.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Unlock institutional revenue</w:t>
      </w:r>
      <w:r>
        <w:t xml:space="preserve"> </w:t>
      </w:r>
      <w:r>
        <w:t xml:space="preserve">— activate the already-built educator portal.</w:t>
      </w:r>
    </w:p>
    <w:bookmarkEnd w:id="10"/>
    <w:bookmarkStart w:id="11" w:name="X71d381e430ff37a1f66d388326d39126bc0655e"/>
    <w:p>
      <w:pPr>
        <w:pStyle w:val="Heading2"/>
      </w:pPr>
      <w:r>
        <w:t xml:space="preserve">Segments (market to motivation, not mechanics)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Diaspora Reconnector (primary)</w:t>
            </w:r>
          </w:p>
        </w:tc>
        <w:tc>
          <w:tcPr/>
          <w:p>
            <w:pPr>
              <w:pStyle w:val="Compact"/>
            </w:pPr>
            <w:r>
              <w:t xml:space="preserve">25–45, abroad, trigger-event driven</w:t>
            </w:r>
          </w:p>
        </w:tc>
        <w:tc>
          <w:tcPr/>
          <w:p>
            <w:pPr>
              <w:pStyle w:val="Compact"/>
            </w:pPr>
            <w:r>
              <w:t xml:space="preserve">“Your family will notice”</w:t>
            </w:r>
          </w:p>
        </w:tc>
        <w:tc>
          <w:tcPr/>
          <w:p>
            <w:pPr>
              <w:pStyle w:val="Compact"/>
            </w:pPr>
            <w:r>
              <w:t xml:space="preserve">TikTok / 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Educator / Preservationist</w:t>
            </w:r>
          </w:p>
        </w:tc>
        <w:tc>
          <w:tcPr/>
          <w:p>
            <w:pPr>
              <w:pStyle w:val="Compact"/>
            </w:pPr>
            <w:r>
              <w:t xml:space="preserve">Teachers, organizers; mission-driven</w:t>
            </w:r>
          </w:p>
        </w:tc>
        <w:tc>
          <w:tcPr/>
          <w:p>
            <w:pPr>
              <w:pStyle w:val="Compact"/>
            </w:pPr>
            <w:r>
              <w:t xml:space="preserve">Free classrooms, trustworthy content</w:t>
            </w:r>
          </w:p>
        </w:tc>
        <w:tc>
          <w:tcPr/>
          <w:p>
            <w:pPr>
              <w:pStyle w:val="Compact"/>
            </w:pPr>
            <w:r>
              <w:t xml:space="preserve">LinkedIn, academic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Cultural Curious</w:t>
            </w:r>
          </w:p>
        </w:tc>
        <w:tc>
          <w:tcPr/>
          <w:p>
            <w:pPr>
              <w:pStyle w:val="Compact"/>
            </w:pPr>
            <w:r>
              <w:t xml:space="preserve">18–30, Afrodiaspora</w:t>
            </w:r>
          </w:p>
        </w:tc>
        <w:tc>
          <w:tcPr/>
          <w:p>
            <w:pPr>
              <w:pStyle w:val="Compact"/>
            </w:pPr>
            <w:r>
              <w:t xml:space="preserve">Adinkra, proverbs, Word of the Day</w:t>
            </w:r>
          </w:p>
        </w:tc>
        <w:tc>
          <w:tcPr/>
          <w:p>
            <w:pPr>
              <w:pStyle w:val="Compact"/>
            </w:pPr>
            <w:r>
              <w:t xml:space="preserve">Cultural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Heritage Student (B2B2C)</w:t>
            </w:r>
          </w:p>
        </w:tc>
        <w:tc>
          <w:tcPr/>
          <w:p>
            <w:pPr>
              <w:pStyle w:val="Compact"/>
            </w:pPr>
            <w:r>
              <w:t xml:space="preserve">8–22, via a teacher</w:t>
            </w:r>
          </w:p>
        </w:tc>
        <w:tc>
          <w:tcPr/>
          <w:p>
            <w:pPr>
              <w:pStyle w:val="Compact"/>
            </w:pPr>
            <w:r>
              <w:t xml:space="preserve">Leaderboard, multiplayer</w:t>
            </w:r>
          </w:p>
        </w:tc>
        <w:tc>
          <w:tcPr/>
          <w:p>
            <w:pPr>
              <w:pStyle w:val="Compact"/>
            </w:pPr>
            <w:r>
              <w:t xml:space="preserve">Classroom</w:t>
            </w:r>
          </w:p>
        </w:tc>
      </w:tr>
    </w:tbl>
    <w:bookmarkEnd w:id="11"/>
    <w:bookmarkStart w:id="12" w:name="acquisition-channels-priority-order"/>
    <w:p>
      <w:pPr>
        <w:pStyle w:val="Heading2"/>
      </w:pPr>
      <w:r>
        <w:t xml:space="preserve">Acquisition channels (priority order)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Organic social</w:t>
      </w:r>
      <w:r>
        <w:t xml:space="preserve"> </w:t>
      </w:r>
      <w:r>
        <w:t xml:space="preserve">(TikTok/IG reels, Twitter for educators) — primary discovery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SEO / content</w:t>
      </w:r>
      <w:r>
        <w:t xml:space="preserve"> </w:t>
      </w:r>
      <w:r>
        <w:t xml:space="preserve">— one blog post per high-priority language per quarter; the</w:t>
      </w:r>
      <w:r>
        <w:t xml:space="preserve"> </w:t>
      </w:r>
      <w:r>
        <w:t xml:space="preserve">web root must become a public landing page (it currently redirects to</w:t>
      </w:r>
      <w:r>
        <w:t xml:space="preserve"> </w:t>
      </w:r>
      <w:r>
        <w:rPr>
          <w:rStyle w:val="VerbatimChar"/>
        </w:rPr>
        <w:t xml:space="preserve">/learn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Diaspora community partnerships</w:t>
      </w:r>
      <w:r>
        <w:t xml:space="preserve"> </w:t>
      </w:r>
      <w:r>
        <w:t xml:space="preserve">— free classrooms for hosting events; target</w:t>
      </w:r>
      <w:r>
        <w:t xml:space="preserve"> </w:t>
      </w:r>
      <w:r>
        <w:t xml:space="preserve">10 orgs in 30 days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 Store / Play (ASO)</w:t>
      </w:r>
      <w:r>
        <w:t xml:space="preserve"> </w:t>
      </w:r>
      <w:r>
        <w:t xml:space="preserve">— see marketing-strategy §11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Educator / institutional outreach</w:t>
      </w:r>
      <w:r>
        <w:t xml:space="preserve"> </w:t>
      </w:r>
      <w:r>
        <w:t xml:space="preserve">— the B2B2C funnel and revenue path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Paid</w:t>
      </w:r>
      <w:r>
        <w:t xml:space="preserve"> </w:t>
      </w:r>
      <w:r>
        <w:t xml:space="preserve">— deferred until organic D30 retention is known (no leaky-bucket spend)</w:t>
      </w:r>
    </w:p>
    <w:bookmarkEnd w:id="12"/>
    <w:bookmarkStart w:id="13" w:name="the-flywheel"/>
    <w:p>
      <w:pPr>
        <w:pStyle w:val="Heading2"/>
      </w:pPr>
      <w:r>
        <w:t xml:space="preserve">The flywheel</w:t>
      </w:r>
    </w:p>
    <w:p>
      <w:pPr>
        <w:pStyle w:val="FirstParagraph"/>
      </w:pPr>
      <w:r>
        <w:t xml:space="preserve">Contributor bounties pay native speakers (in XP) to add vocabulary/audio → more</w:t>
      </w:r>
      <w:r>
        <w:t xml:space="preserve"> </w:t>
      </w:r>
      <w:r>
        <w:t xml:space="preserve">community per language → richer content → more learners → more contributors. This</w:t>
      </w:r>
      <w:r>
        <w:t xml:space="preserve"> </w:t>
      </w:r>
      <w:r>
        <w:t xml:space="preserve">is both the content-cost moat and the media story; competitors pay editorial teams</w:t>
      </w:r>
      <w:r>
        <w:t xml:space="preserve"> </w:t>
      </w:r>
      <w:r>
        <w:t xml:space="preserve">per language while Beeli’s content compounds for free.</w:t>
      </w:r>
    </w:p>
    <w:bookmarkEnd w:id="13"/>
    <w:bookmarkStart w:id="14" w:name="retention-hook-habit-attachment"/>
    <w:p>
      <w:pPr>
        <w:pStyle w:val="Heading2"/>
      </w:pPr>
      <w:r>
        <w:t xml:space="preserve">Retention: Hook → Habit → Attachment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Hook (first 7 days):</w:t>
      </w:r>
      <w:r>
        <w:t xml:space="preserve"> </w:t>
      </w:r>
      <w:r>
        <w:t xml:space="preserve">onboarding first-win in ~3 min; daily challenges; Word</w:t>
      </w:r>
      <w:r>
        <w:t xml:space="preserve"> </w:t>
      </w:r>
      <w:r>
        <w:t xml:space="preserve">of the Day; resume-on-open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Habit (7–30):</w:t>
      </w:r>
      <w:r>
        <w:t xml:space="preserve"> </w:t>
      </w:r>
      <w:r>
        <w:t xml:space="preserve">streaks + freeze, 30-day calendar, XP progression, leaderboard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Attachment (30+):</w:t>
      </w:r>
      <w:r>
        <w:t xml:space="preserve"> </w:t>
      </w:r>
      <w:r>
        <w:t xml:space="preserve">level-title identity (</w:t>
      </w:r>
      <w:r>
        <w:t xml:space="preserve">“I am a Guardian of Igbo”</w:t>
      </w:r>
      <w:r>
        <w:t xml:space="preserve">), My</w:t>
      </w:r>
      <w:r>
        <w:t xml:space="preserve"> </w:t>
      </w:r>
      <w:r>
        <w:t xml:space="preserve">Contributions, classroom membership, multiplayer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Re-engagement:</w:t>
      </w:r>
      <w:r>
        <w:t xml:space="preserve"> </w:t>
      </w:r>
      <w:r>
        <w:t xml:space="preserve">lapsed-3/7/14-day push + email (copy + scheduled job; deep</w:t>
      </w:r>
      <w:r>
        <w:t xml:space="preserve"> </w:t>
      </w:r>
      <w:r>
        <w:t xml:space="preserve">links already supported)</w:t>
      </w:r>
    </w:p>
    <w:bookmarkEnd w:id="14"/>
    <w:bookmarkStart w:id="15" w:name="day-launch-plan"/>
    <w:p>
      <w:pPr>
        <w:pStyle w:val="Heading2"/>
      </w:pPr>
      <w:r>
        <w:t xml:space="preserve">90-day launch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 1–14</w:t>
            </w:r>
          </w:p>
        </w:tc>
        <w:tc>
          <w:tcPr/>
          <w:p>
            <w:pPr>
              <w:pStyle w:val="Compact"/>
            </w:pPr>
            <w:r>
              <w:t xml:space="preserve">Foundation: verify PostHog; build web landing page; ship store listings; create</w:t>
            </w:r>
            <w:r>
              <w:t xml:space="preserve"> </w:t>
            </w:r>
            <w:r>
              <w:t xml:space="preserve">@beeliapp</w:t>
            </w:r>
            <w:r>
              <w:t xml:space="preserve"> </w:t>
            </w:r>
            <w:r>
              <w:t xml:space="preserve">socials; pre-write 14 days of content</w:t>
            </w:r>
          </w:p>
        </w:tc>
        <w:tc>
          <w:tcPr/>
          <w:p>
            <w:pPr>
              <w:pStyle w:val="Compact"/>
            </w:pPr>
            <w:r>
              <w:t xml:space="preserve">Acquisition infra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 15–30</w:t>
            </w:r>
          </w:p>
        </w:tc>
        <w:tc>
          <w:tcPr/>
          <w:p>
            <w:pPr>
              <w:pStyle w:val="Compact"/>
            </w:pPr>
            <w:r>
              <w:t xml:space="preserve">Seeding: 10 diaspora orgs + 5 educators; first Language of the Week (Yoruba); Product Hunt; first press pitch (</w:t>
            </w:r>
            <w:r>
              <w:t xml:space="preserve">“70 vs 4”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First community + 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 31–60</w:t>
            </w:r>
          </w:p>
        </w:tc>
        <w:tc>
          <w:tcPr/>
          <w:p>
            <w:pPr>
              <w:pStyle w:val="Compact"/>
            </w:pPr>
            <w:r>
              <w:t xml:space="preserve">Content engine: 3 blog posts (Yoruba/Swahili/Amharic); Contributor Spotlight; #BeeliChallenge; 3 classrooms</w:t>
            </w:r>
          </w:p>
        </w:tc>
        <w:tc>
          <w:tcPr/>
          <w:p>
            <w:pPr>
              <w:pStyle w:val="Compact"/>
            </w:pPr>
            <w:r>
              <w:t xml:space="preserve">Content cadence + classrooms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 61–90</w:t>
            </w:r>
          </w:p>
        </w:tc>
        <w:tc>
          <w:tcPr/>
          <w:p>
            <w:pPr>
              <w:pStyle w:val="Compact"/>
            </w:pPr>
            <w:r>
              <w:t xml:space="preserve">Evaluate/monetize: retention by channel;</w:t>
            </w:r>
            <w:r>
              <w:t xml:space="preserve"> </w:t>
            </w:r>
            <w:r>
              <w:t xml:space="preserve">“Support Beeli”</w:t>
            </w:r>
            <w:r>
              <w:t xml:space="preserve"> </w:t>
            </w:r>
            <w:r>
              <w:t xml:space="preserve">CTA to Level 5+; first institutional partnership</w:t>
            </w:r>
          </w:p>
        </w:tc>
        <w:tc>
          <w:tcPr/>
          <w:p>
            <w:pPr>
              <w:pStyle w:val="Compact"/>
            </w:pPr>
            <w:r>
              <w:t xml:space="preserve">Double down on the winner</w:t>
            </w:r>
          </w:p>
        </w:tc>
      </w:tr>
    </w:tbl>
    <w:bookmarkEnd w:id="15"/>
    <w:bookmarkStart w:id="16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04"/>
        </w:numPr>
      </w:pPr>
      <w:r>
        <w:t xml:space="preserve">Every experiment needs a hypothesis, a metric, a timeline, and a kill condition.</w:t>
      </w:r>
    </w:p>
    <w:p>
      <w:pPr>
        <w:pStyle w:val="Compact"/>
        <w:numPr>
          <w:ilvl w:val="0"/>
          <w:numId w:val="1004"/>
        </w:numPr>
      </w:pPr>
      <w:r>
        <w:t xml:space="preserve">The first 90 days prove the motion, not scale — retained learners beat raw installs.</w:t>
      </w:r>
    </w:p>
    <w:p>
      <w:pPr>
        <w:pStyle w:val="Compact"/>
        <w:numPr>
          <w:ilvl w:val="0"/>
          <w:numId w:val="1004"/>
        </w:numPr>
      </w:pPr>
      <w:r>
        <w:t xml:space="preserve">Optimise for</w:t>
      </w:r>
      <w:r>
        <w:t xml:space="preserve"> </w:t>
      </w:r>
      <w:r>
        <w:rPr>
          <w:b/>
          <w:bCs/>
        </w:rPr>
        <w:t xml:space="preserve">Daily Active Learners</w:t>
      </w:r>
      <w:r>
        <w:t xml:space="preserve"> </w:t>
      </w:r>
      <w:r>
        <w:t xml:space="preserve">and retention, never vanity metrics.</w:t>
      </w:r>
    </w:p>
    <w:p>
      <w:pPr>
        <w:pStyle w:val="Compact"/>
        <w:numPr>
          <w:ilvl w:val="0"/>
          <w:numId w:val="1004"/>
        </w:numPr>
      </w:pPr>
      <w:r>
        <w:t xml:space="preserve">Depth-gate marketing per language — only promote languages whose first lesson is strong.</w:t>
      </w:r>
    </w:p>
    <w:p>
      <w:pPr>
        <w:pStyle w:val="Compact"/>
        <w:numPr>
          <w:ilvl w:val="0"/>
          <w:numId w:val="1004"/>
        </w:numPr>
      </w:pPr>
      <w:r>
        <w:t xml:space="preserve">Customer-facing copy follows</w:t>
      </w:r>
      <w:r>
        <w:t xml:space="preserve"> </w:t>
      </w:r>
      <w:r>
        <w:rPr>
          <w:rStyle w:val="VerbatimChar"/>
        </w:rPr>
        <w:t xml:space="preserve">beeli-marketing</w:t>
      </w:r>
      <w:r>
        <w:t xml:space="preserve"> </w:t>
      </w:r>
      <w:r>
        <w:t xml:space="preserve">brand voice.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2026-06-07T22:43:07Z</dcterms:created>
  <dcterms:modified xsi:type="dcterms:W3CDTF">2026-06-07T22:43:07Z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