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ALEJANDRO HERNANDEZ MARTINEZ</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2a PRIVADA DE   GERANIOS  EXT 45</w:t>
      </w:r>
      <w:r w:rsidR="003222A7">
        <w:rPr>
          <w:rFonts w:ascii="Arial" w:hAnsi="Arial" w:cs="Arial"/>
          <w:b/>
          <w:sz w:val="24"/>
          <w:szCs w:val="24"/>
        </w:rPr>
        <w:t xml:space="preserve">, </w:t>
      </w:r>
      <w:r>
        <w:rPr>
          <w:rFonts w:ascii="Arial" w:hAnsi="Arial" w:cs="Arial"/>
          <w:b/>
          <w:sz w:val="24"/>
          <w:szCs w:val="24"/>
        </w:rPr>
        <w:t>COL. DEPORTE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2a PRIVADA DE   GERANIOS  EXT 45</w:t>
      </w:r>
      <w:r w:rsidR="003222A7">
        <w:rPr>
          <w:rFonts w:ascii="Arial" w:hAnsi="Arial" w:cs="Arial"/>
          <w:b/>
          <w:sz w:val="24"/>
          <w:szCs w:val="24"/>
        </w:rPr>
        <w:t xml:space="preserve">, </w:t>
      </w:r>
      <w:r>
        <w:rPr>
          <w:rFonts w:ascii="Arial" w:hAnsi="Arial" w:cs="Arial"/>
          <w:b/>
          <w:sz w:val="24"/>
          <w:szCs w:val="24"/>
        </w:rPr>
        <w:t>COL. DEPORTE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CATORCE DÍAS DEL MES DE JUNIO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ALEJANDRO HERNANDEZ MARTINEZ</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