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YOLANDA HERNANDEZ GARCES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JOSE MARIA MORELOS Y PAVON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2003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$11,526.00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05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18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$2,500.00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05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YOLANDA HERNANDEZ GARCES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