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MARCO ANTONIO HERNANDEZ SERRANO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1" w:name="OLE_LINK2"/>
      <w:bookmarkStart w:id="2" w:name="OLE_LINK3"/>
      <w:bookmarkStart w:id="3" w:name="OLE_LINK4"/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DE PRUEBA (SISTEMAS).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LAZARO CARDENAS NO INT 45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$9,276.00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23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14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DE PRUEBA (SISTEMAS).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