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ADOLFO SÁNCHEZ SORIA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FELPE TORRES CONTRERAS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ANTONIO RUIZ NO EXT 9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2017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$1,800.00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$1,000.00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FELPE TORRES CONTRERAS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