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DIANA LUISA MARTINES SUARES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LAZARO CARDENAS INT.45 EXT.116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r w:rsidR="008A56BF">
        <w:rPr>
          <w:b/>
        </w:rPr>
        <w:t>{</w:t>
      </w:r>
      <w:proofErr w:type="spellStart"/>
      <w:r w:rsidR="008A56BF">
        <w:rPr>
          <w:b/>
        </w:rPr>
        <w:t>Telefono</w:t>
      </w:r>
      <w:proofErr w:type="spellEnd"/>
      <w:r w:rsidR="008A56BF">
        <w:rPr>
          <w:b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LAZARO CARDENAS INT.45 EXT.116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 w:rsidR="00BD0694">
              <w:rPr>
                <w:b/>
                <w:sz w:val="24"/>
              </w:rPr>
              <w:t>{Observaciones}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