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aps/>
          <w:color w:val="888888"/>
          <w:sz w:val="18"/>
          <w:szCs w:val="18"/>
        </w:rPr>
        <w:t xml:space="preserve">QUARTERLY SALES REPORT</w:t>
      </w:r>
    </w:p>
    <w:p>
      <w:pPr>
        <w:spacing w:after="100"/>
      </w:pPr>
      <w:r>
        <w:rPr>
          <w:rFonts w:ascii="Arial" w:cs="Arial" w:eastAsia="Arial" w:hAnsi="Arial"/>
          <w:b/>
          <w:bCs/>
          <w:color w:val="1F3864"/>
          <w:sz w:val="40"/>
          <w:szCs w:val="40"/>
        </w:rPr>
        <w:t xml:space="preserve">Q1 2026 — January to March</w:t>
      </w:r>
    </w:p>
    <w:p>
      <w:pPr>
        <w:spacing w:after="120"/>
      </w:pPr>
      <w:r>
        <w:rPr>
          <w:rFonts w:ascii="Arial" w:cs="Arial" w:eastAsia="Arial" w:hAnsi="Arial"/>
          <w:i/>
          <w:iCs/>
          <w:color w:val="888888"/>
          <w:sz w:val="22"/>
          <w:szCs w:val="22"/>
        </w:rPr>
        <w:t xml:space="preserve">Hartfield Solutions Ltd  |  Commercial Division</w:t>
      </w:r>
    </w:p>
    <w:p>
      <w:pPr>
        <w:pBdr>
          <w:bottom w:val="single" w:color="2E5797" w:sz="6" w:space="1"/>
        </w:pBdr>
        <w:spacing w:after="240"/>
      </w:pPr>
    </w:p>
    <w:p>
      <w:pPr>
        <w:spacing w:after="80"/>
      </w:pPr>
      <w:r>
        <w:rPr>
          <w:rFonts w:ascii="Arial" w:cs="Arial" w:eastAsia="Arial" w:hAnsi="Arial"/>
          <w:b/>
          <w:bCs/>
          <w:color w:val="555555"/>
          <w:sz w:val="20"/>
          <w:szCs w:val="20"/>
        </w:rPr>
        <w:t xml:space="preserve">Prepared by:  </w:t>
      </w:r>
      <w:r>
        <w:rPr>
          <w:rFonts w:ascii="Arial" w:cs="Arial" w:eastAsia="Arial" w:hAnsi="Arial"/>
          <w:color w:val="555555"/>
          <w:sz w:val="20"/>
          <w:szCs w:val="20"/>
        </w:rPr>
        <w:t xml:space="preserve">Rachel Okonkwo, Head of Commercial</w:t>
      </w:r>
    </w:p>
    <w:p>
      <w:pPr>
        <w:spacing w:after="80"/>
      </w:pPr>
      <w:r>
        <w:rPr>
          <w:rFonts w:ascii="Arial" w:cs="Arial" w:eastAsia="Arial" w:hAnsi="Arial"/>
          <w:b/>
          <w:bCs/>
          <w:color w:val="555555"/>
          <w:sz w:val="20"/>
          <w:szCs w:val="20"/>
        </w:rPr>
        <w:t xml:space="preserve">Date:  </w:t>
      </w:r>
      <w:r>
        <w:rPr>
          <w:rFonts w:ascii="Arial" w:cs="Arial" w:eastAsia="Arial" w:hAnsi="Arial"/>
          <w:color w:val="555555"/>
          <w:sz w:val="20"/>
          <w:szCs w:val="20"/>
        </w:rPr>
        <w:t xml:space="preserve">14 April 2026</w:t>
      </w:r>
    </w:p>
    <w:p>
      <w:pPr>
        <w:spacing w:after="80"/>
      </w:pPr>
      <w:r>
        <w:rPr>
          <w:rFonts w:ascii="Arial" w:cs="Arial" w:eastAsia="Arial" w:hAnsi="Arial"/>
          <w:b/>
          <w:bCs/>
          <w:color w:val="555555"/>
          <w:sz w:val="20"/>
          <w:szCs w:val="20"/>
        </w:rPr>
        <w:t xml:space="preserve">Distribution:  </w:t>
      </w:r>
      <w:r>
        <w:rPr>
          <w:rFonts w:ascii="Arial" w:cs="Arial" w:eastAsia="Arial" w:hAnsi="Arial"/>
          <w:color w:val="555555"/>
          <w:sz w:val="20"/>
          <w:szCs w:val="20"/>
        </w:rPr>
        <w:t xml:space="preserve">Senior Leadership Team</w:t>
      </w:r>
    </w:p>
    <w:p>
      <w:pPr>
        <w:spacing w:after="100"/>
      </w:pPr>
      <w:r>
        <w:t xml:space="preserve"/>
      </w:r>
    </w:p>
    <w:p>
      <w:pPr>
        <w:pStyle w:val="Heading1"/>
        <w:spacing w:after="160" w:before="320"/>
      </w:pPr>
      <w:r>
        <w:rPr>
          <w:rFonts w:ascii="Arial" w:cs="Arial" w:eastAsia="Arial" w:hAnsi="Arial"/>
          <w:b/>
          <w:bCs/>
          <w:color w:val="1F3864"/>
          <w:sz w:val="28"/>
          <w:szCs w:val="28"/>
        </w:rPr>
        <w:t xml:space="preserve">Executive Summary</w:t>
      </w:r>
    </w:p>
    <w:p>
      <w:pPr>
        <w:spacing w:after="140"/>
      </w:pPr>
      <w:r>
        <w:rPr>
          <w:rFonts w:ascii="Arial" w:cs="Arial" w:eastAsia="Arial" w:hAnsi="Arial"/>
          <w:sz w:val="22"/>
          <w:szCs w:val="22"/>
        </w:rPr>
        <w:t xml:space="preserve">Q1 2026 delivered a solid start to the year, with total revenue coming in at £2.84 million against a target of £2.6 million — representing 9.2% ahead of plan. New business acquisition was the standout story, with the team closing seven new enterprise accounts, three of which came from a concentrated push into the financial services sector that began in late Q4 2025.</w:t>
      </w:r>
    </w:p>
    <w:p>
      <w:pPr>
        <w:spacing w:after="140"/>
      </w:pPr>
      <w:r>
        <w:rPr>
          <w:rFonts w:ascii="Arial" w:cs="Arial" w:eastAsia="Arial" w:hAnsi="Arial"/>
          <w:sz w:val="22"/>
          <w:szCs w:val="22"/>
        </w:rPr>
        <w:t xml:space="preserve">Retention performance was strong, with a renewal rate of 94% across our existing account base. The one area of concern was mid-market performance, where a combination of longer sales cycles and two delayed signings pushed results slightly below target for that segment. Both deals have since been confirmed and will land in Q2.</w:t>
      </w:r>
    </w:p>
    <w:p>
      <w:pPr>
        <w:spacing w:after="100"/>
      </w:pPr>
      <w:r>
        <w:t xml:space="preserve"/>
      </w:r>
    </w:p>
    <w:p>
      <w:pPr>
        <w:pStyle w:val="Heading1"/>
        <w:spacing w:after="160" w:before="320"/>
      </w:pPr>
      <w:r>
        <w:rPr>
          <w:rFonts w:ascii="Arial" w:cs="Arial" w:eastAsia="Arial" w:hAnsi="Arial"/>
          <w:b/>
          <w:bCs/>
          <w:color w:val="1F3864"/>
          <w:sz w:val="28"/>
          <w:szCs w:val="28"/>
        </w:rPr>
        <w:t xml:space="preserve">Revenue Performance</w:t>
      </w:r>
    </w:p>
    <w:p>
      <w:pPr>
        <w:spacing w:after="140"/>
      </w:pPr>
      <w:r>
        <w:rPr>
          <w:rFonts w:ascii="Arial" w:cs="Arial" w:eastAsia="Arial" w:hAnsi="Arial"/>
          <w:sz w:val="22"/>
          <w:szCs w:val="22"/>
        </w:rPr>
        <w:t xml:space="preserve">Total revenue for Q1 2026 was £2.84 million, compared to £2.51 million in Q1 2025 — a year-on-year increase of 13.1%.</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56"/>
        <w:gridCol w:w="1956"/>
        <w:gridCol w:w="1914"/>
      </w:tblGrid>
      <w:tr>
        <w:trPr>
          <w:tblHeader/>
        </w:trPr>
        <w:tc>
          <w:tcPr>
            <w:tcW w:type="dxa" w:w="3200"/>
            <w:tcBorders>
              <w:top w:val="single" w:color="CCCCCC" w:sz="1"/>
              <w:left w:val="single" w:color="CCCCCC" w:sz="1"/>
              <w:bottom w:val="single" w:color="CCCCCC" w:sz="1"/>
              <w:right w:val="single" w:color="CCCCCC" w:sz="1"/>
            </w:tcBorders>
            <w:shd w:fill="2E5797" w:val="clear"/>
            <w:tcMar>
              <w:top w:type="dxa" w:w="100"/>
              <w:left w:type="dxa" w:w="120"/>
              <w:bottom w:type="dxa" w:w="100"/>
              <w:right w:type="dxa" w:w="120"/>
            </w:tcMar>
          </w:tcPr>
          <w:p>
            <w:r>
              <w:rPr>
                <w:rFonts w:ascii="Arial" w:cs="Arial" w:eastAsia="Arial" w:hAnsi="Arial"/>
                <w:b/>
                <w:bCs/>
                <w:color w:val="FFFFFF"/>
                <w:sz w:val="20"/>
                <w:szCs w:val="20"/>
              </w:rPr>
              <w:t xml:space="preserve">Segment</w:t>
            </w:r>
          </w:p>
        </w:tc>
        <w:tc>
          <w:tcPr>
            <w:tcW w:type="dxa" w:w="1956"/>
            <w:tcBorders>
              <w:top w:val="single" w:color="CCCCCC" w:sz="1"/>
              <w:left w:val="single" w:color="CCCCCC" w:sz="1"/>
              <w:bottom w:val="single" w:color="CCCCCC" w:sz="1"/>
              <w:right w:val="single" w:color="CCCCCC" w:sz="1"/>
            </w:tcBorders>
            <w:shd w:fill="2E5797" w:val="clear"/>
            <w:tcMar>
              <w:top w:type="dxa" w:w="100"/>
              <w:left w:type="dxa" w:w="120"/>
              <w:bottom w:type="dxa" w:w="100"/>
              <w:right w:type="dxa" w:w="120"/>
            </w:tcMar>
          </w:tcPr>
          <w:p>
            <w:r>
              <w:rPr>
                <w:rFonts w:ascii="Arial" w:cs="Arial" w:eastAsia="Arial" w:hAnsi="Arial"/>
                <w:b/>
                <w:bCs/>
                <w:color w:val="FFFFFF"/>
                <w:sz w:val="20"/>
                <w:szCs w:val="20"/>
              </w:rPr>
              <w:t xml:space="preserve">Target (£)</w:t>
            </w:r>
          </w:p>
        </w:tc>
        <w:tc>
          <w:tcPr>
            <w:tcW w:type="dxa" w:w="1956"/>
            <w:tcBorders>
              <w:top w:val="single" w:color="CCCCCC" w:sz="1"/>
              <w:left w:val="single" w:color="CCCCCC" w:sz="1"/>
              <w:bottom w:val="single" w:color="CCCCCC" w:sz="1"/>
              <w:right w:val="single" w:color="CCCCCC" w:sz="1"/>
            </w:tcBorders>
            <w:shd w:fill="2E5797" w:val="clear"/>
            <w:tcMar>
              <w:top w:type="dxa" w:w="100"/>
              <w:left w:type="dxa" w:w="120"/>
              <w:bottom w:type="dxa" w:w="100"/>
              <w:right w:type="dxa" w:w="120"/>
            </w:tcMar>
          </w:tcPr>
          <w:p>
            <w:r>
              <w:rPr>
                <w:rFonts w:ascii="Arial" w:cs="Arial" w:eastAsia="Arial" w:hAnsi="Arial"/>
                <w:b/>
                <w:bCs/>
                <w:color w:val="FFFFFF"/>
                <w:sz w:val="20"/>
                <w:szCs w:val="20"/>
              </w:rPr>
              <w:t xml:space="preserve">Actual (£)</w:t>
            </w:r>
          </w:p>
        </w:tc>
        <w:tc>
          <w:tcPr>
            <w:tcW w:type="dxa" w:w="1914"/>
            <w:tcBorders>
              <w:top w:val="single" w:color="CCCCCC" w:sz="1"/>
              <w:left w:val="single" w:color="CCCCCC" w:sz="1"/>
              <w:bottom w:val="single" w:color="CCCCCC" w:sz="1"/>
              <w:right w:val="single" w:color="CCCCCC" w:sz="1"/>
            </w:tcBorders>
            <w:shd w:fill="2E5797" w:val="clear"/>
            <w:tcMar>
              <w:top w:type="dxa" w:w="100"/>
              <w:left w:type="dxa" w:w="120"/>
              <w:bottom w:type="dxa" w:w="100"/>
              <w:right w:type="dxa" w:w="120"/>
            </w:tcMar>
          </w:tcPr>
          <w:p>
            <w:r>
              <w:rPr>
                <w:rFonts w:ascii="Arial" w:cs="Arial" w:eastAsia="Arial" w:hAnsi="Arial"/>
                <w:b/>
                <w:bCs/>
                <w:color w:val="FFFFFF"/>
                <w:sz w:val="20"/>
                <w:szCs w:val="20"/>
              </w:rPr>
              <w:t xml:space="preserve">Variance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Enterprise</w:t>
            </w:r>
          </w:p>
        </w:tc>
        <w:tc>
          <w:tcPr>
            <w:tcW w:type="dxa" w:w="19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1,200,000</w:t>
            </w:r>
          </w:p>
        </w:tc>
        <w:tc>
          <w:tcPr>
            <w:tcW w:type="dxa" w:w="19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1,410,000</w:t>
            </w:r>
          </w:p>
        </w:tc>
        <w:tc>
          <w:tcPr>
            <w:tcW w:type="dxa" w:w="19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A7A3B"/>
                <w:sz w:val="20"/>
                <w:szCs w:val="20"/>
              </w:rPr>
              <w:t xml:space="preserve">+17.5%</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Mid-Market</w:t>
            </w:r>
          </w:p>
        </w:tc>
        <w:tc>
          <w:tcPr>
            <w:tcW w:type="dxa" w:w="195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850,000</w:t>
            </w:r>
          </w:p>
        </w:tc>
        <w:tc>
          <w:tcPr>
            <w:tcW w:type="dxa" w:w="195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780,000</w:t>
            </w:r>
          </w:p>
        </w:tc>
        <w:tc>
          <w:tcPr>
            <w:tcW w:type="dxa" w:w="191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C0392B"/>
                <w:sz w:val="20"/>
                <w:szCs w:val="20"/>
              </w:rPr>
              <w:t xml:space="preserve">-8.2%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SME</w:t>
            </w:r>
          </w:p>
        </w:tc>
        <w:tc>
          <w:tcPr>
            <w:tcW w:type="dxa" w:w="19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420,000</w:t>
            </w:r>
          </w:p>
        </w:tc>
        <w:tc>
          <w:tcPr>
            <w:tcW w:type="dxa" w:w="19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465,000</w:t>
            </w:r>
          </w:p>
        </w:tc>
        <w:tc>
          <w:tcPr>
            <w:tcW w:type="dxa" w:w="19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A7A3B"/>
                <w:sz w:val="20"/>
                <w:szCs w:val="20"/>
              </w:rPr>
              <w:t xml:space="preserve">+10.7%</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Renewals &amp; Upsell</w:t>
            </w:r>
          </w:p>
        </w:tc>
        <w:tc>
          <w:tcPr>
            <w:tcW w:type="dxa" w:w="195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130,000</w:t>
            </w:r>
          </w:p>
        </w:tc>
        <w:tc>
          <w:tcPr>
            <w:tcW w:type="dxa" w:w="195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185,000</w:t>
            </w:r>
          </w:p>
        </w:tc>
        <w:tc>
          <w:tcPr>
            <w:tcW w:type="dxa" w:w="191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A7A3B"/>
                <w:sz w:val="20"/>
                <w:szCs w:val="20"/>
              </w:rPr>
              <w:t xml:space="preserve">+42.3%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TOTAL</w:t>
            </w:r>
          </w:p>
        </w:tc>
        <w:tc>
          <w:tcPr>
            <w:tcW w:type="dxa" w:w="19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2,600,000</w:t>
            </w:r>
          </w:p>
        </w:tc>
        <w:tc>
          <w:tcPr>
            <w:tcW w:type="dxa" w:w="19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2,840,000</w:t>
            </w:r>
          </w:p>
        </w:tc>
        <w:tc>
          <w:tcPr>
            <w:tcW w:type="dxa" w:w="19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A7A3B"/>
                <w:sz w:val="20"/>
                <w:szCs w:val="20"/>
              </w:rPr>
              <w:t xml:space="preserve">+9.2%</w:t>
            </w:r>
          </w:p>
        </w:tc>
      </w:tr>
    </w:tbl>
    <w:p>
      <w:pPr>
        <w:spacing w:after="100"/>
      </w:pPr>
      <w:r>
        <w:t xml:space="preserve"/>
      </w:r>
    </w:p>
    <w:p>
      <w:pPr>
        <w:spacing w:after="100"/>
      </w:pPr>
      <w:r>
        <w:t xml:space="preserve"/>
      </w:r>
    </w:p>
    <w:p>
      <w:pPr>
        <w:pStyle w:val="Heading1"/>
        <w:spacing w:after="160" w:before="320"/>
      </w:pPr>
      <w:r>
        <w:rPr>
          <w:rFonts w:ascii="Arial" w:cs="Arial" w:eastAsia="Arial" w:hAnsi="Arial"/>
          <w:b/>
          <w:bCs/>
          <w:color w:val="1F3864"/>
          <w:sz w:val="28"/>
          <w:szCs w:val="28"/>
        </w:rPr>
        <w:t xml:space="preserve">New Business</w:t>
      </w:r>
    </w:p>
    <w:p>
      <w:pPr>
        <w:spacing w:after="140"/>
      </w:pPr>
      <w:r>
        <w:rPr>
          <w:rFonts w:ascii="Arial" w:cs="Arial" w:eastAsia="Arial" w:hAnsi="Arial"/>
          <w:sz w:val="22"/>
          <w:szCs w:val="22"/>
        </w:rPr>
        <w:t xml:space="preserve">Seven new enterprise accounts were closed in Q1, with a combined annual contract value of £620,000. This exceeded the quarterly target of five new enterprise accounts and represents the strongest new business quarter in the past two years.</w:t>
      </w:r>
    </w:p>
    <w:p>
      <w:pPr>
        <w:spacing w:after="100"/>
      </w:pPr>
      <w:r>
        <w:t xml:space="preserve"/>
      </w:r>
    </w:p>
    <w:p>
      <w:pPr>
        <w:pStyle w:val="Heading2"/>
        <w:spacing w:after="100" w:before="200"/>
      </w:pPr>
      <w:r>
        <w:rPr>
          <w:rFonts w:ascii="Arial" w:cs="Arial" w:eastAsia="Arial" w:hAnsi="Arial"/>
          <w:b/>
          <w:bCs/>
          <w:color w:val="2E5797"/>
          <w:sz w:val="24"/>
          <w:szCs w:val="24"/>
        </w:rPr>
        <w:t xml:space="preserve">Notable New Wins</w:t>
      </w:r>
    </w:p>
    <w:p>
      <w:pPr>
        <w:pStyle w:val="ListParagraph"/>
        <w:numPr>
          <w:ilvl w:val="0"/>
          <w:numId w:val="2"/>
        </w:numPr>
        <w:spacing w:after="100"/>
      </w:pPr>
      <w:r>
        <w:rPr>
          <w:rFonts w:ascii="Arial" w:cs="Arial" w:eastAsia="Arial" w:hAnsi="Arial"/>
          <w:sz w:val="22"/>
          <w:szCs w:val="22"/>
        </w:rPr>
        <w:t xml:space="preserve">Pemberton Capital Group — three-year contract, ACV £180,000. First financial services enterprise win. Came through a referral from an existing client in the legal sector.</w:t>
      </w:r>
    </w:p>
    <w:p>
      <w:pPr>
        <w:pStyle w:val="ListParagraph"/>
        <w:numPr>
          <w:ilvl w:val="0"/>
          <w:numId w:val="2"/>
        </w:numPr>
        <w:spacing w:after="100"/>
      </w:pPr>
      <w:r>
        <w:rPr>
          <w:rFonts w:ascii="Arial" w:cs="Arial" w:eastAsia="Arial" w:hAnsi="Arial"/>
          <w:sz w:val="22"/>
          <w:szCs w:val="22"/>
        </w:rPr>
        <w:t xml:space="preserve">Meridian Healthcare Trust — two-year contract, ACV £95,000. First NHS trust account. Significant potential for expansion across the trust's wider network.</w:t>
      </w:r>
    </w:p>
    <w:p>
      <w:pPr>
        <w:pStyle w:val="ListParagraph"/>
        <w:numPr>
          <w:ilvl w:val="0"/>
          <w:numId w:val="2"/>
        </w:numPr>
        <w:spacing w:after="100"/>
      </w:pPr>
      <w:r>
        <w:rPr>
          <w:rFonts w:ascii="Arial" w:cs="Arial" w:eastAsia="Arial" w:hAnsi="Arial"/>
          <w:sz w:val="22"/>
          <w:szCs w:val="22"/>
        </w:rPr>
        <w:t xml:space="preserve">Vantage Logistics — one-year pilot, ACV £42,000. Opportunity to expand to full deployment in Q3 if pilot meets agreed KPIs.</w:t>
      </w:r>
    </w:p>
    <w:p>
      <w:pPr>
        <w:pStyle w:val="ListParagraph"/>
        <w:numPr>
          <w:ilvl w:val="0"/>
          <w:numId w:val="2"/>
        </w:numPr>
        <w:spacing w:after="100"/>
      </w:pPr>
      <w:r>
        <w:rPr>
          <w:rFonts w:ascii="Arial" w:cs="Arial" w:eastAsia="Arial" w:hAnsi="Arial"/>
          <w:sz w:val="22"/>
          <w:szCs w:val="22"/>
        </w:rPr>
        <w:t xml:space="preserve">Four additional enterprise accounts at an average ACV of £75,750.</w:t>
      </w:r>
    </w:p>
    <w:p>
      <w:pPr>
        <w:spacing w:after="100"/>
      </w:pPr>
      <w:r>
        <w:t xml:space="preserve"/>
      </w:r>
    </w:p>
    <w:p>
      <w:pPr>
        <w:pStyle w:val="Heading2"/>
        <w:spacing w:after="100" w:before="200"/>
      </w:pPr>
      <w:r>
        <w:rPr>
          <w:rFonts w:ascii="Arial" w:cs="Arial" w:eastAsia="Arial" w:hAnsi="Arial"/>
          <w:b/>
          <w:bCs/>
          <w:color w:val="2E5797"/>
          <w:sz w:val="24"/>
          <w:szCs w:val="24"/>
        </w:rPr>
        <w:t xml:space="preserve">Pipeline Status</w:t>
      </w:r>
    </w:p>
    <w:p>
      <w:pPr>
        <w:spacing w:after="140"/>
      </w:pPr>
      <w:r>
        <w:rPr>
          <w:rFonts w:ascii="Arial" w:cs="Arial" w:eastAsia="Arial" w:hAnsi="Arial"/>
          <w:sz w:val="22"/>
          <w:szCs w:val="22"/>
        </w:rPr>
        <w:t xml:space="preserve">The qualified pipeline entering Q2 stands at £4.1 million, up from £3.2 million at the start of Q1. The growth in pipeline is largely attributable to the financial services campaign and an increase in inbound enquiries following the company's presence at two industry events in February.</w:t>
      </w:r>
    </w:p>
    <w:p>
      <w:pPr>
        <w:spacing w:after="140"/>
      </w:pPr>
      <w:r>
        <w:rPr>
          <w:rFonts w:ascii="Arial" w:cs="Arial" w:eastAsia="Arial" w:hAnsi="Arial"/>
          <w:sz w:val="22"/>
          <w:szCs w:val="22"/>
        </w:rPr>
        <w:t xml:space="preserve">Pipeline coverage ratio stands at 3.2x against Q2 target, which is within our target range of 3x to 4x.</w:t>
      </w:r>
    </w:p>
    <w:p>
      <w:pPr>
        <w:spacing w:after="100"/>
      </w:pPr>
      <w:r>
        <w:t xml:space="preserve"/>
      </w:r>
    </w:p>
    <w:p>
      <w:pPr>
        <w:pStyle w:val="Heading1"/>
        <w:spacing w:after="160" w:before="320"/>
      </w:pPr>
      <w:r>
        <w:rPr>
          <w:rFonts w:ascii="Arial" w:cs="Arial" w:eastAsia="Arial" w:hAnsi="Arial"/>
          <w:b/>
          <w:bCs/>
          <w:color w:val="1F3864"/>
          <w:sz w:val="28"/>
          <w:szCs w:val="28"/>
        </w:rPr>
        <w:t xml:space="preserve">Renewals and Retention</w:t>
      </w:r>
    </w:p>
    <w:p>
      <w:pPr>
        <w:spacing w:after="140"/>
      </w:pPr>
      <w:r>
        <w:rPr>
          <w:rFonts w:ascii="Arial" w:cs="Arial" w:eastAsia="Arial" w:hAnsi="Arial"/>
          <w:sz w:val="22"/>
          <w:szCs w:val="22"/>
        </w:rPr>
        <w:t xml:space="preserve">Renewal rate for Q1 was 94%, against a target of 92%. Sixteen accounts came up for renewal during the quarter — fifteen renewed, one did not.</w:t>
      </w:r>
    </w:p>
    <w:p>
      <w:pPr>
        <w:spacing w:after="140"/>
      </w:pPr>
      <w:r>
        <w:rPr>
          <w:rFonts w:ascii="Arial" w:cs="Arial" w:eastAsia="Arial" w:hAnsi="Arial"/>
          <w:sz w:val="22"/>
          <w:szCs w:val="22"/>
        </w:rPr>
        <w:t xml:space="preserve">The non-renewal was Acton Media Group, who cited budget pressures following a restructure. The account had an ACV of £28,000. The customer success team has maintained contact and there is a possibility of re-engagement in Q4 once their restructuring is complete.</w:t>
      </w:r>
    </w:p>
    <w:p>
      <w:pPr>
        <w:spacing w:after="140"/>
      </w:pPr>
      <w:r>
        <w:rPr>
          <w:rFonts w:ascii="Arial" w:cs="Arial" w:eastAsia="Arial" w:hAnsi="Arial"/>
          <w:sz w:val="22"/>
          <w:szCs w:val="22"/>
        </w:rPr>
        <w:t xml:space="preserve">Upsell revenue of £185,000 was significantly ahead of target, driven primarily by two existing enterprise accounts expanding their user licences following successful deployments.</w:t>
      </w:r>
    </w:p>
    <w:p>
      <w:pPr>
        <w:spacing w:after="100"/>
      </w:pPr>
      <w:r>
        <w:t xml:space="preserve"/>
      </w:r>
    </w:p>
    <w:p>
      <w:pPr>
        <w:pStyle w:val="Heading1"/>
        <w:spacing w:after="160" w:before="320"/>
      </w:pPr>
      <w:r>
        <w:rPr>
          <w:rFonts w:ascii="Arial" w:cs="Arial" w:eastAsia="Arial" w:hAnsi="Arial"/>
          <w:b/>
          <w:bCs/>
          <w:color w:val="1F3864"/>
          <w:sz w:val="28"/>
          <w:szCs w:val="28"/>
        </w:rPr>
        <w:t xml:space="preserve">Team and Operations</w:t>
      </w:r>
    </w:p>
    <w:p>
      <w:pPr>
        <w:pStyle w:val="Heading2"/>
        <w:spacing w:after="100" w:before="200"/>
      </w:pPr>
      <w:r>
        <w:rPr>
          <w:rFonts w:ascii="Arial" w:cs="Arial" w:eastAsia="Arial" w:hAnsi="Arial"/>
          <w:b/>
          <w:bCs/>
          <w:color w:val="2E5797"/>
          <w:sz w:val="24"/>
          <w:szCs w:val="24"/>
        </w:rPr>
        <w:t xml:space="preserve">Headcount</w:t>
      </w:r>
    </w:p>
    <w:p>
      <w:pPr>
        <w:spacing w:after="140"/>
      </w:pPr>
      <w:r>
        <w:rPr>
          <w:rFonts w:ascii="Arial" w:cs="Arial" w:eastAsia="Arial" w:hAnsi="Arial"/>
          <w:sz w:val="22"/>
          <w:szCs w:val="22"/>
        </w:rPr>
        <w:t xml:space="preserve">The commercial team ended Q1 at 14 people: eight account executives, three customer success managers, two sales development representatives, and one commercial analyst. One account executive joined in February, bringing the team to its planned Q1 headcount.</w:t>
      </w:r>
    </w:p>
    <w:p>
      <w:pPr>
        <w:spacing w:after="100"/>
      </w:pPr>
      <w:r>
        <w:t xml:space="preserve"/>
      </w:r>
    </w:p>
    <w:p>
      <w:pPr>
        <w:pStyle w:val="Heading2"/>
        <w:spacing w:after="100" w:before="200"/>
      </w:pPr>
      <w:r>
        <w:rPr>
          <w:rFonts w:ascii="Arial" w:cs="Arial" w:eastAsia="Arial" w:hAnsi="Arial"/>
          <w:b/>
          <w:bCs/>
          <w:color w:val="2E5797"/>
          <w:sz w:val="24"/>
          <w:szCs w:val="24"/>
        </w:rPr>
        <w:t xml:space="preserve">Activity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6"/>
        <w:gridCol w:w="2257"/>
      </w:tblGrid>
      <w:tr>
        <w:trPr>
          <w:tblHeader/>
        </w:trPr>
        <w:tc>
          <w:tcPr>
            <w:tcW w:type="dxa" w:w="4513"/>
            <w:tcBorders>
              <w:top w:val="single" w:color="CCCCCC" w:sz="1"/>
              <w:left w:val="single" w:color="CCCCCC" w:sz="1"/>
              <w:bottom w:val="single" w:color="CCCCCC" w:sz="1"/>
              <w:right w:val="single" w:color="CCCCCC" w:sz="1"/>
            </w:tcBorders>
            <w:shd w:fill="2E5797"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256"/>
            <w:tcBorders>
              <w:top w:val="single" w:color="CCCCCC" w:sz="1"/>
              <w:left w:val="single" w:color="CCCCCC" w:sz="1"/>
              <w:bottom w:val="single" w:color="CCCCCC" w:sz="1"/>
              <w:right w:val="single" w:color="CCCCCC" w:sz="1"/>
            </w:tcBorders>
            <w:shd w:fill="2E5797" w:val="clear"/>
            <w:tcMar>
              <w:top w:type="dxa" w:w="100"/>
              <w:left w:type="dxa" w:w="120"/>
              <w:bottom w:type="dxa" w:w="100"/>
              <w:right w:type="dxa" w:w="120"/>
            </w:tcMar>
          </w:tcPr>
          <w:p>
            <w:r>
              <w:rPr>
                <w:rFonts w:ascii="Arial" w:cs="Arial" w:eastAsia="Arial" w:hAnsi="Arial"/>
                <w:b/>
                <w:bCs/>
                <w:color w:val="FFFFFF"/>
                <w:sz w:val="20"/>
                <w:szCs w:val="20"/>
              </w:rPr>
              <w:t xml:space="preserve">Q1 2026</w:t>
            </w:r>
          </w:p>
        </w:tc>
        <w:tc>
          <w:tcPr>
            <w:tcW w:type="dxa" w:w="2257"/>
            <w:tcBorders>
              <w:top w:val="single" w:color="CCCCCC" w:sz="1"/>
              <w:left w:val="single" w:color="CCCCCC" w:sz="1"/>
              <w:bottom w:val="single" w:color="CCCCCC" w:sz="1"/>
              <w:right w:val="single" w:color="CCCCCC" w:sz="1"/>
            </w:tcBorders>
            <w:shd w:fill="2E5797" w:val="clear"/>
            <w:tcMar>
              <w:top w:type="dxa" w:w="100"/>
              <w:left w:type="dxa" w:w="120"/>
              <w:bottom w:type="dxa" w:w="100"/>
              <w:right w:type="dxa" w:w="120"/>
            </w:tcMar>
          </w:tcPr>
          <w:p>
            <w:r>
              <w:rPr>
                <w:rFonts w:ascii="Arial" w:cs="Arial" w:eastAsia="Arial" w:hAnsi="Arial"/>
                <w:b/>
                <w:bCs/>
                <w:color w:val="FFFFFF"/>
                <w:sz w:val="20"/>
                <w:szCs w:val="20"/>
              </w:rPr>
              <w:t xml:space="preserve">Q1 2025</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Outbound calls made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1,847</w:t>
            </w:r>
          </w:p>
        </w:tc>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1,612</w:t>
            </w:r>
          </w:p>
        </w:tc>
      </w:tr>
      <w:tr>
        <w:tc>
          <w:tcPr>
            <w:tcW w:type="dxa" w:w="451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Demos delivered</w:t>
            </w:r>
          </w:p>
        </w:tc>
        <w:tc>
          <w:tcPr>
            <w:tcW w:type="dxa" w:w="225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94</w:t>
            </w:r>
          </w:p>
        </w:tc>
        <w:tc>
          <w:tcPr>
            <w:tcW w:type="dxa" w:w="2257"/>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71</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Proposals sent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61</w:t>
            </w:r>
          </w:p>
        </w:tc>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49</w:t>
            </w:r>
          </w:p>
        </w:tc>
      </w:tr>
      <w:tr>
        <w:tc>
          <w:tcPr>
            <w:tcW w:type="dxa" w:w="451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Average deal cycle (enterprise)</w:t>
            </w:r>
          </w:p>
        </w:tc>
        <w:tc>
          <w:tcPr>
            <w:tcW w:type="dxa" w:w="225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67 days</w:t>
            </w:r>
          </w:p>
        </w:tc>
        <w:tc>
          <w:tcPr>
            <w:tcW w:type="dxa" w:w="2257"/>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74 days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Win rate (qualified opportunities)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38%</w:t>
            </w:r>
          </w:p>
        </w:tc>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31%</w:t>
            </w:r>
          </w:p>
        </w:tc>
      </w:tr>
    </w:tbl>
    <w:p>
      <w:pPr>
        <w:spacing w:after="100"/>
      </w:pPr>
      <w:r>
        <w:t xml:space="preserve"/>
      </w:r>
    </w:p>
    <w:p>
      <w:pPr>
        <w:spacing w:after="100"/>
      </w:pPr>
      <w:r>
        <w:t xml:space="preserve"/>
      </w:r>
    </w:p>
    <w:p>
      <w:pPr>
        <w:pStyle w:val="Heading1"/>
        <w:spacing w:after="160" w:before="320"/>
      </w:pPr>
      <w:r>
        <w:rPr>
          <w:rFonts w:ascii="Arial" w:cs="Arial" w:eastAsia="Arial" w:hAnsi="Arial"/>
          <w:b/>
          <w:bCs/>
          <w:color w:val="1F3864"/>
          <w:sz w:val="28"/>
          <w:szCs w:val="28"/>
        </w:rPr>
        <w:t xml:space="preserve">Challenges and Risks</w:t>
      </w:r>
    </w:p>
    <w:p>
      <w:pPr>
        <w:pStyle w:val="Heading2"/>
        <w:spacing w:after="100" w:before="200"/>
      </w:pPr>
      <w:r>
        <w:rPr>
          <w:rFonts w:ascii="Arial" w:cs="Arial" w:eastAsia="Arial" w:hAnsi="Arial"/>
          <w:b/>
          <w:bCs/>
          <w:color w:val="2E5797"/>
          <w:sz w:val="24"/>
          <w:szCs w:val="24"/>
        </w:rPr>
        <w:t xml:space="preserve">Mid-Market Underperformance</w:t>
      </w:r>
    </w:p>
    <w:p>
      <w:pPr>
        <w:spacing w:after="140"/>
      </w:pPr>
      <w:r>
        <w:rPr>
          <w:rFonts w:ascii="Arial" w:cs="Arial" w:eastAsia="Arial" w:hAnsi="Arial"/>
          <w:sz w:val="22"/>
          <w:szCs w:val="22"/>
        </w:rPr>
        <w:t xml:space="preserve">The mid-market segment came in £70,000 below target. Two deals expected to close in March slipped into Q2 due to extended procurement processes at the client side. Both deals are now confirmed and will be recognised in Q2. Excluding the timing impact of these two deals, mid-market would have been broadly on target.</w:t>
      </w:r>
    </w:p>
    <w:p>
      <w:pPr>
        <w:spacing w:after="140"/>
      </w:pPr>
      <w:r>
        <w:rPr>
          <w:rFonts w:ascii="Arial" w:cs="Arial" w:eastAsia="Arial" w:hAnsi="Arial"/>
          <w:sz w:val="22"/>
          <w:szCs w:val="22"/>
        </w:rPr>
        <w:t xml:space="preserve">The underlying concern in mid-market is a lengthening of average sales cycles, which has increased from 42 days in Q1 2025 to 58 days in Q1 2026. This is partially attributable to more rigorous vendor assessment processes among buyers, but we are reviewing our approach to accelerate decision-making.</w:t>
      </w:r>
    </w:p>
    <w:p>
      <w:pPr>
        <w:spacing w:after="100"/>
      </w:pPr>
      <w:r>
        <w:t xml:space="preserve"/>
      </w:r>
    </w:p>
    <w:p>
      <w:pPr>
        <w:pStyle w:val="Heading2"/>
        <w:spacing w:after="100" w:before="200"/>
      </w:pPr>
      <w:r>
        <w:rPr>
          <w:rFonts w:ascii="Arial" w:cs="Arial" w:eastAsia="Arial" w:hAnsi="Arial"/>
          <w:b/>
          <w:bCs/>
          <w:color w:val="2E5797"/>
          <w:sz w:val="24"/>
          <w:szCs w:val="24"/>
        </w:rPr>
        <w:t xml:space="preserve">Competitive Pressure</w:t>
      </w:r>
    </w:p>
    <w:p>
      <w:pPr>
        <w:spacing w:after="140"/>
      </w:pPr>
      <w:r>
        <w:rPr>
          <w:rFonts w:ascii="Arial" w:cs="Arial" w:eastAsia="Arial" w:hAnsi="Arial"/>
          <w:sz w:val="22"/>
          <w:szCs w:val="22"/>
        </w:rPr>
        <w:t xml:space="preserve">Three lost deals in Q1 cited competitive pricing as the primary reason, specifically referencing a new market entrant offering significantly lower entry-level pricing. This is being monitored and will be discussed at the Q2 commercial strategy review.</w:t>
      </w:r>
    </w:p>
    <w:p>
      <w:pPr>
        <w:spacing w:after="100"/>
      </w:pPr>
      <w:r>
        <w:t xml:space="preserve"/>
      </w:r>
    </w:p>
    <w:p>
      <w:pPr>
        <w:pStyle w:val="Heading1"/>
        <w:spacing w:after="160" w:before="320"/>
      </w:pPr>
      <w:r>
        <w:rPr>
          <w:rFonts w:ascii="Arial" w:cs="Arial" w:eastAsia="Arial" w:hAnsi="Arial"/>
          <w:b/>
          <w:bCs/>
          <w:color w:val="1F3864"/>
          <w:sz w:val="28"/>
          <w:szCs w:val="28"/>
        </w:rPr>
        <w:t xml:space="preserve">Q2 Outlook</w:t>
      </w:r>
    </w:p>
    <w:p>
      <w:pPr>
        <w:spacing w:after="140"/>
      </w:pPr>
      <w:r>
        <w:rPr>
          <w:rFonts w:ascii="Arial" w:cs="Arial" w:eastAsia="Arial" w:hAnsi="Arial"/>
          <w:sz w:val="22"/>
          <w:szCs w:val="22"/>
        </w:rPr>
        <w:t xml:space="preserve">The Q2 target is £3.0 million. With the two delayed Q1 deals confirmed, a strong pipeline, and two major renewal conversations already at advanced stage, the team is well positioned to deliver against target.</w:t>
      </w:r>
    </w:p>
    <w:p>
      <w:pPr>
        <w:spacing w:after="140"/>
      </w:pPr>
      <w:r>
        <w:rPr>
          <w:rFonts w:ascii="Arial" w:cs="Arial" w:eastAsia="Arial" w:hAnsi="Arial"/>
          <w:sz w:val="22"/>
          <w:szCs w:val="22"/>
        </w:rPr>
        <w:t xml:space="preserve">Three priorities for Q2:</w:t>
      </w:r>
    </w:p>
    <w:p>
      <w:pPr>
        <w:pStyle w:val="ListParagraph"/>
        <w:numPr>
          <w:ilvl w:val="0"/>
          <w:numId w:val="2"/>
        </w:numPr>
        <w:spacing w:after="100"/>
      </w:pPr>
      <w:r>
        <w:rPr>
          <w:rFonts w:ascii="Arial" w:cs="Arial" w:eastAsia="Arial" w:hAnsi="Arial"/>
          <w:sz w:val="22"/>
          <w:szCs w:val="22"/>
        </w:rPr>
        <w:t xml:space="preserve">Close the two confirmed carry-over deals from Q1 in April to avoid further slippage.</w:t>
      </w:r>
    </w:p>
    <w:p>
      <w:pPr>
        <w:pStyle w:val="ListParagraph"/>
        <w:numPr>
          <w:ilvl w:val="0"/>
          <w:numId w:val="2"/>
        </w:numPr>
        <w:spacing w:after="100"/>
      </w:pPr>
      <w:r>
        <w:rPr>
          <w:rFonts w:ascii="Arial" w:cs="Arial" w:eastAsia="Arial" w:hAnsi="Arial"/>
          <w:sz w:val="22"/>
          <w:szCs w:val="22"/>
        </w:rPr>
        <w:t xml:space="preserve">Convert the Vantage Logistics pilot to a full deployment — decision expected by end of May.</w:t>
      </w:r>
    </w:p>
    <w:p>
      <w:pPr>
        <w:pStyle w:val="ListParagraph"/>
        <w:numPr>
          <w:ilvl w:val="0"/>
          <w:numId w:val="2"/>
        </w:numPr>
        <w:spacing w:after="100"/>
      </w:pPr>
      <w:r>
        <w:rPr>
          <w:rFonts w:ascii="Arial" w:cs="Arial" w:eastAsia="Arial" w:hAnsi="Arial"/>
          <w:sz w:val="22"/>
          <w:szCs w:val="22"/>
        </w:rPr>
        <w:t xml:space="preserve">Continue the financial services sector push, with a target of three new enterprise wins from this segment in Q2.</w:t>
      </w:r>
    </w:p>
    <w:p>
      <w:pPr>
        <w:spacing w:after="100"/>
      </w:pPr>
      <w:r>
        <w:t xml:space="preserve"/>
      </w:r>
    </w:p>
    <w:p>
      <w:pPr>
        <w:spacing w:after="140"/>
      </w:pPr>
      <w:r>
        <w:rPr>
          <w:rFonts w:ascii="Arial" w:cs="Arial" w:eastAsia="Arial" w:hAnsi="Arial"/>
          <w:b/>
          <w:bCs/>
          <w:sz w:val="22"/>
          <w:szCs w:val="22"/>
        </w:rPr>
        <w:t xml:space="preserve">Rachel Okonkwo</w:t>
      </w:r>
    </w:p>
    <w:p>
      <w:pPr>
        <w:spacing w:after="140"/>
      </w:pPr>
      <w:r>
        <w:rPr>
          <w:rFonts w:ascii="Arial" w:cs="Arial" w:eastAsia="Arial" w:hAnsi="Arial"/>
          <w:sz w:val="22"/>
          <w:szCs w:val="22"/>
        </w:rPr>
        <w:t xml:space="preserve">Head of Commercial, Hartfield Solutions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57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2026-05-31T16:52:51.729Z</dcterms:created>
  <dcterms:modified xsi:type="dcterms:W3CDTF">2026-05-31T16:52:51.745Z</dcterms:modified>
</cp:coreProperties>
</file>

<file path=docProps/custom.xml><?xml version="1.0" encoding="utf-8"?>
<Properties xmlns="http://schemas.openxmlformats.org/officeDocument/2006/custom-properties" xmlns:vt="http://schemas.openxmlformats.org/officeDocument/2006/docPropsVTypes"/>
</file>