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888888"/>
          <w:sz w:val="18"/>
          <w:szCs w:val="18"/>
        </w:rPr>
        <w:t xml:space="preserve">QUARTERLY SALES REPORT</w:t>
      </w:r>
    </w:p>
    <w:p>
      <w:pPr>
        <w:spacing w:after="100"/>
      </w:pPr>
      <w:r>
        <w:rPr>
          <w:rFonts w:ascii="Arial" w:cs="Arial" w:eastAsia="Arial" w:hAnsi="Arial"/>
          <w:b/>
          <w:bCs/>
          <w:color w:val="1F3864"/>
          <w:sz w:val="40"/>
          <w:szCs w:val="40"/>
        </w:rPr>
        <w:t xml:space="preserve">Q2 2026 — April to June</w:t>
      </w:r>
    </w:p>
    <w:p>
      <w:pPr>
        <w:spacing w:after="120"/>
      </w:pPr>
      <w:r>
        <w:rPr>
          <w:rFonts w:ascii="Arial" w:cs="Arial" w:eastAsia="Arial" w:hAnsi="Arial"/>
          <w:i/>
          <w:iCs/>
          <w:color w:val="888888"/>
          <w:sz w:val="22"/>
          <w:szCs w:val="22"/>
        </w:rPr>
        <w:t xml:space="preserve">Hartfield Solutions Ltd  |  Commercial Division</w:t>
      </w:r>
    </w:p>
    <w:p>
      <w:pPr>
        <w:pBdr>
          <w:bottom w:val="single" w:color="2E5797" w:sz="6" w:space="1"/>
        </w:pBdr>
        <w:spacing w:after="240"/>
      </w:pPr>
    </w:p>
    <w:p>
      <w:pPr>
        <w:spacing w:after="80"/>
      </w:pPr>
      <w:r>
        <w:rPr>
          <w:rFonts w:ascii="Arial" w:cs="Arial" w:eastAsia="Arial" w:hAnsi="Arial"/>
          <w:b/>
          <w:bCs/>
          <w:color w:val="555555"/>
          <w:sz w:val="20"/>
          <w:szCs w:val="20"/>
        </w:rPr>
        <w:t xml:space="preserve">Prepared by:  </w:t>
      </w:r>
      <w:r>
        <w:rPr>
          <w:rFonts w:ascii="Arial" w:cs="Arial" w:eastAsia="Arial" w:hAnsi="Arial"/>
          <w:color w:val="555555"/>
          <w:sz w:val="20"/>
          <w:szCs w:val="20"/>
        </w:rPr>
        <w:t xml:space="preserve">Rachel Okonkwo, Head of Commercial</w:t>
      </w:r>
    </w:p>
    <w:p>
      <w:pPr>
        <w:spacing w:after="80"/>
      </w:pPr>
      <w:r>
        <w:rPr>
          <w:rFonts w:ascii="Arial" w:cs="Arial" w:eastAsia="Arial" w:hAnsi="Arial"/>
          <w:b/>
          <w:bCs/>
          <w:color w:val="555555"/>
          <w:sz w:val="20"/>
          <w:szCs w:val="20"/>
        </w:rPr>
        <w:t xml:space="preserve">Date:  </w:t>
      </w:r>
      <w:r>
        <w:rPr>
          <w:rFonts w:ascii="Arial" w:cs="Arial" w:eastAsia="Arial" w:hAnsi="Arial"/>
          <w:color w:val="555555"/>
          <w:sz w:val="20"/>
          <w:szCs w:val="20"/>
        </w:rPr>
        <w:t xml:space="preserve">11 July 2026</w:t>
      </w:r>
    </w:p>
    <w:p>
      <w:pPr>
        <w:spacing w:after="80"/>
      </w:pPr>
      <w:r>
        <w:rPr>
          <w:rFonts w:ascii="Arial" w:cs="Arial" w:eastAsia="Arial" w:hAnsi="Arial"/>
          <w:b/>
          <w:bCs/>
          <w:color w:val="555555"/>
          <w:sz w:val="20"/>
          <w:szCs w:val="20"/>
        </w:rPr>
        <w:t xml:space="preserve">Distribution:  </w:t>
      </w:r>
      <w:r>
        <w:rPr>
          <w:rFonts w:ascii="Arial" w:cs="Arial" w:eastAsia="Arial" w:hAnsi="Arial"/>
          <w:color w:val="555555"/>
          <w:sz w:val="20"/>
          <w:szCs w:val="20"/>
        </w:rPr>
        <w:t xml:space="preserve">Senior Leadership Team</w:t>
      </w:r>
    </w:p>
    <w:p>
      <w:pPr>
        <w:spacing w:after="100"/>
      </w:pPr>
      <w:r>
        <w:t xml:space="preserve"/>
      </w:r>
    </w:p>
    <w:p>
      <w:pPr>
        <w:pStyle w:val="Heading1"/>
        <w:spacing w:after="160" w:before="320"/>
      </w:pPr>
      <w:r>
        <w:rPr>
          <w:rFonts w:ascii="Arial" w:cs="Arial" w:eastAsia="Arial" w:hAnsi="Arial"/>
          <w:b/>
          <w:bCs/>
          <w:color w:val="1F3864"/>
          <w:sz w:val="28"/>
          <w:szCs w:val="28"/>
        </w:rPr>
        <w:t xml:space="preserve">Executive Summary</w:t>
      </w:r>
    </w:p>
    <w:p>
      <w:pPr>
        <w:spacing w:after="140"/>
      </w:pPr>
      <w:r>
        <w:rPr>
          <w:rFonts w:ascii="Arial" w:cs="Arial" w:eastAsia="Arial" w:hAnsi="Arial"/>
          <w:sz w:val="22"/>
          <w:szCs w:val="22"/>
        </w:rPr>
        <w:t xml:space="preserve">Q2 2026 was a mixed quarter. Revenue of £2.91 million against a target of £3.0 million represents a shortfall of 3%, the first time in five quarters that the commercial team has missed its target. The miss was concentrated in the enterprise segment, where one significant deal — expected to be the largest new business win of the year — failed to close following an unexpected freeze on external spending by the prospect.</w:t>
      </w:r>
    </w:p>
    <w:p>
      <w:pPr>
        <w:spacing w:after="140"/>
      </w:pPr>
      <w:r>
        <w:rPr>
          <w:rFonts w:ascii="Arial" w:cs="Arial" w:eastAsia="Arial" w:hAnsi="Arial"/>
          <w:sz w:val="22"/>
          <w:szCs w:val="22"/>
        </w:rPr>
        <w:t xml:space="preserve">On the positive side, mid-market recovered strongly from Q1's underperformance, coming in 12% ahead of target. The financial services push continued to gain traction, with two further enterprise wins from that sector. Retention remained robust at 93%, and the renewals and upsell line again outperformed, reflecting the strength of our customer success programme.</w:t>
      </w:r>
    </w:p>
    <w:p>
      <w:pPr>
        <w:spacing w:after="140"/>
      </w:pPr>
      <w:r>
        <w:rPr>
          <w:rFonts w:ascii="Arial" w:cs="Arial" w:eastAsia="Arial" w:hAnsi="Arial"/>
          <w:sz w:val="22"/>
          <w:szCs w:val="22"/>
        </w:rPr>
        <w:t xml:space="preserve">H1 2026 cumulative revenue stands at £5.75 million against a target of £5.6 million — 2.7% ahead of the half-year plan. The business remains on track for the full-year target of £12 million.</w:t>
      </w:r>
    </w:p>
    <w:p>
      <w:pPr>
        <w:spacing w:after="100"/>
      </w:pPr>
      <w:r>
        <w:t xml:space="preserve"/>
      </w:r>
    </w:p>
    <w:p>
      <w:pPr>
        <w:pStyle w:val="Heading1"/>
        <w:spacing w:after="160" w:before="320"/>
      </w:pPr>
      <w:r>
        <w:rPr>
          <w:rFonts w:ascii="Arial" w:cs="Arial" w:eastAsia="Arial" w:hAnsi="Arial"/>
          <w:b/>
          <w:bCs/>
          <w:color w:val="1F3864"/>
          <w:sz w:val="28"/>
          <w:szCs w:val="28"/>
        </w:rPr>
        <w:t xml:space="preserve">Revenue Performance</w:t>
      </w:r>
    </w:p>
    <w:p>
      <w:pPr>
        <w:spacing w:after="140"/>
      </w:pPr>
      <w:r>
        <w:rPr>
          <w:rFonts w:ascii="Arial" w:cs="Arial" w:eastAsia="Arial" w:hAnsi="Arial"/>
          <w:sz w:val="22"/>
          <w:szCs w:val="22"/>
        </w:rPr>
        <w:t xml:space="preserve">Total revenue for Q2 2026 was £2.91 million, compared to £2.84 million in Q1 2026 and £2.63 million in Q2 2025 — a year-on-year increase of 10.6%.</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56"/>
        <w:gridCol w:w="1956"/>
        <w:gridCol w:w="1914"/>
      </w:tblGrid>
      <w:tr>
        <w:trPr>
          <w:tblHeader/>
        </w:trPr>
        <w:tc>
          <w:tcPr>
            <w:tcW w:type="dxa" w:w="3200"/>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Segment</w:t>
            </w:r>
          </w:p>
        </w:tc>
        <w:tc>
          <w:tcPr>
            <w:tcW w:type="dxa" w:w="1956"/>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Target (£)</w:t>
            </w:r>
          </w:p>
        </w:tc>
        <w:tc>
          <w:tcPr>
            <w:tcW w:type="dxa" w:w="1956"/>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Actual (£)</w:t>
            </w:r>
          </w:p>
        </w:tc>
        <w:tc>
          <w:tcPr>
            <w:tcW w:type="dxa" w:w="1914"/>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Variance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Enterprise</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1,450,000</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1,210,000</w:t>
            </w:r>
          </w:p>
        </w:tc>
        <w:tc>
          <w:tcPr>
            <w:tcW w:type="dxa" w:w="19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-16.6%</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Mid-Market</w:t>
            </w:r>
          </w:p>
        </w:tc>
        <w:tc>
          <w:tcPr>
            <w:tcW w:type="dxa" w:w="195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900,000</w:t>
            </w:r>
          </w:p>
        </w:tc>
        <w:tc>
          <w:tcPr>
            <w:tcW w:type="dxa" w:w="195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1,008,000</w:t>
            </w:r>
          </w:p>
        </w:tc>
        <w:tc>
          <w:tcPr>
            <w:tcW w:type="dxa" w:w="191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A7A3B"/>
                <w:sz w:val="20"/>
                <w:szCs w:val="20"/>
              </w:rPr>
              <w:t xml:space="preserve">+12.0%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SME</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450,000</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472,000</w:t>
            </w:r>
          </w:p>
        </w:tc>
        <w:tc>
          <w:tcPr>
            <w:tcW w:type="dxa" w:w="19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A7A3B"/>
                <w:sz w:val="20"/>
                <w:szCs w:val="20"/>
              </w:rPr>
              <w:t xml:space="preserve">+4.9%</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Renewals &amp; Upsell</w:t>
            </w:r>
          </w:p>
        </w:tc>
        <w:tc>
          <w:tcPr>
            <w:tcW w:type="dxa" w:w="195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200,000</w:t>
            </w:r>
          </w:p>
        </w:tc>
        <w:tc>
          <w:tcPr>
            <w:tcW w:type="dxa" w:w="195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220,000</w:t>
            </w:r>
          </w:p>
        </w:tc>
        <w:tc>
          <w:tcPr>
            <w:tcW w:type="dxa" w:w="191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2A7A3B"/>
                <w:sz w:val="20"/>
                <w:szCs w:val="20"/>
              </w:rPr>
              <w:t xml:space="preserve">+10.0%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TOTAL</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3,000,000</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2,910,000</w:t>
            </w:r>
          </w:p>
        </w:tc>
        <w:tc>
          <w:tcPr>
            <w:tcW w:type="dxa" w:w="19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-3.0%</w:t>
            </w:r>
          </w:p>
        </w:tc>
      </w:tr>
    </w:tbl>
    <w:p>
      <w:pPr>
        <w:spacing w:after="100"/>
      </w:pPr>
      <w:r>
        <w:t xml:space="preserve"/>
      </w:r>
    </w:p>
    <w:p>
      <w:pPr>
        <w:spacing w:after="100"/>
      </w:pPr>
      <w:r>
        <w:t xml:space="preserve"/>
      </w:r>
    </w:p>
    <w:p>
      <w:pPr>
        <w:pStyle w:val="Heading1"/>
        <w:spacing w:after="160" w:before="320"/>
      </w:pPr>
      <w:r>
        <w:rPr>
          <w:rFonts w:ascii="Arial" w:cs="Arial" w:eastAsia="Arial" w:hAnsi="Arial"/>
          <w:b/>
          <w:bCs/>
          <w:color w:val="1F3864"/>
          <w:sz w:val="28"/>
          <w:szCs w:val="28"/>
        </w:rPr>
        <w:t xml:space="preserve">New Business</w:t>
      </w:r>
    </w:p>
    <w:p>
      <w:pPr>
        <w:spacing w:after="140"/>
      </w:pPr>
      <w:r>
        <w:rPr>
          <w:rFonts w:ascii="Arial" w:cs="Arial" w:eastAsia="Arial" w:hAnsi="Arial"/>
          <w:sz w:val="22"/>
          <w:szCs w:val="22"/>
        </w:rPr>
        <w:t xml:space="preserve">Five new enterprise accounts were closed in Q2, against a target of six. Combined annual contract value of £490,000 was below the Q1 new business figure of £620,000, primarily due to the loss of the Granville Partners deal described below.</w:t>
      </w:r>
    </w:p>
    <w:p>
      <w:pPr>
        <w:spacing w:after="100"/>
      </w:pPr>
      <w:r>
        <w:t xml:space="preserve"/>
      </w:r>
    </w:p>
    <w:p>
      <w:pPr>
        <w:pStyle w:val="Heading2"/>
        <w:spacing w:after="100" w:before="200"/>
      </w:pPr>
      <w:r>
        <w:rPr>
          <w:rFonts w:ascii="Arial" w:cs="Arial" w:eastAsia="Arial" w:hAnsi="Arial"/>
          <w:b/>
          <w:bCs/>
          <w:color w:val="2E5797"/>
          <w:sz w:val="24"/>
          <w:szCs w:val="24"/>
        </w:rPr>
        <w:t xml:space="preserve">Notable New Wins</w:t>
      </w:r>
    </w:p>
    <w:p>
      <w:pPr>
        <w:pStyle w:val="ListParagraph"/>
        <w:numPr>
          <w:ilvl w:val="0"/>
          <w:numId w:val="2"/>
        </w:numPr>
        <w:spacing w:after="100"/>
      </w:pPr>
      <w:r>
        <w:rPr>
          <w:rFonts w:ascii="Arial" w:cs="Arial" w:eastAsia="Arial" w:hAnsi="Arial"/>
          <w:sz w:val="22"/>
          <w:szCs w:val="22"/>
        </w:rPr>
        <w:t xml:space="preserve">Ashford Private Bank — two-year contract, ACV £155,000. Second major financial services win of the year, strengthening our credentials in the sector.</w:t>
      </w:r>
    </w:p>
    <w:p>
      <w:pPr>
        <w:pStyle w:val="ListParagraph"/>
        <w:numPr>
          <w:ilvl w:val="0"/>
          <w:numId w:val="2"/>
        </w:numPr>
        <w:spacing w:after="100"/>
      </w:pPr>
      <w:r>
        <w:rPr>
          <w:rFonts w:ascii="Arial" w:cs="Arial" w:eastAsia="Arial" w:hAnsi="Arial"/>
          <w:sz w:val="22"/>
          <w:szCs w:val="22"/>
        </w:rPr>
        <w:t xml:space="preserve">Vantage Logistics — full deployment confirmed following successful Q1 pilot, ACV £138,000 per annum. Three-year contract signed.</w:t>
      </w:r>
    </w:p>
    <w:p>
      <w:pPr>
        <w:pStyle w:val="ListParagraph"/>
        <w:numPr>
          <w:ilvl w:val="0"/>
          <w:numId w:val="2"/>
        </w:numPr>
        <w:spacing w:after="100"/>
      </w:pPr>
      <w:r>
        <w:rPr>
          <w:rFonts w:ascii="Arial" w:cs="Arial" w:eastAsia="Arial" w:hAnsi="Arial"/>
          <w:sz w:val="22"/>
          <w:szCs w:val="22"/>
        </w:rPr>
        <w:t xml:space="preserve">Whitmore Legal Group — one-year contract, ACV £72,000. First significant legal sector win — potential for broader sector development.</w:t>
      </w:r>
    </w:p>
    <w:p>
      <w:pPr>
        <w:pStyle w:val="ListParagraph"/>
        <w:numPr>
          <w:ilvl w:val="0"/>
          <w:numId w:val="2"/>
        </w:numPr>
        <w:spacing w:after="100"/>
      </w:pPr>
      <w:r>
        <w:rPr>
          <w:rFonts w:ascii="Arial" w:cs="Arial" w:eastAsia="Arial" w:hAnsi="Arial"/>
          <w:sz w:val="22"/>
          <w:szCs w:val="22"/>
        </w:rPr>
        <w:t xml:space="preserve">Two additional enterprise accounts at an average ACV of £62,500.</w:t>
      </w:r>
    </w:p>
    <w:p>
      <w:pPr>
        <w:spacing w:after="100"/>
      </w:pPr>
      <w:r>
        <w:t xml:space="preserve"/>
      </w:r>
    </w:p>
    <w:p>
      <w:pPr>
        <w:pStyle w:val="Heading2"/>
        <w:spacing w:after="100" w:before="200"/>
      </w:pPr>
      <w:r>
        <w:rPr>
          <w:rFonts w:ascii="Arial" w:cs="Arial" w:eastAsia="Arial" w:hAnsi="Arial"/>
          <w:b/>
          <w:bCs/>
          <w:color w:val="2E5797"/>
          <w:sz w:val="24"/>
          <w:szCs w:val="24"/>
        </w:rPr>
        <w:t xml:space="preserve">Significant Lost Deal — Granville Partners</w:t>
      </w:r>
    </w:p>
    <w:p>
      <w:pPr>
        <w:spacing w:after="140"/>
      </w:pPr>
      <w:r>
        <w:rPr>
          <w:rFonts w:ascii="Arial" w:cs="Arial" w:eastAsia="Arial" w:hAnsi="Arial"/>
          <w:sz w:val="22"/>
          <w:szCs w:val="22"/>
        </w:rPr>
        <w:t xml:space="preserve">Granville Partners, a private equity firm, had been in advanced negotiation since February and represented a potential ACV of £320,000 — which would have been the largest new business win in the company's history. In May, the firm announced an unexpected freeze on all non-essential external spending following changes in their portfolio valuations. The deal has been formally put on hold rather than lost, and the relationship is being maintained by the enterprise team with a view to re-engagement in Q1 2027.</w:t>
      </w:r>
    </w:p>
    <w:p>
      <w:pPr>
        <w:spacing w:after="140"/>
      </w:pPr>
      <w:r>
        <w:rPr>
          <w:rFonts w:ascii="Arial" w:cs="Arial" w:eastAsia="Arial" w:hAnsi="Arial"/>
          <w:sz w:val="22"/>
          <w:szCs w:val="22"/>
        </w:rPr>
        <w:t xml:space="preserve">The pipeline impact of this loss has been partially offset by two new enterprise opportunities at similar scale that entered the qualified pipeline in June.</w:t>
      </w:r>
    </w:p>
    <w:p>
      <w:pPr>
        <w:spacing w:after="100"/>
      </w:pPr>
      <w:r>
        <w:t xml:space="preserve"/>
      </w:r>
    </w:p>
    <w:p>
      <w:pPr>
        <w:pStyle w:val="Heading2"/>
        <w:spacing w:after="100" w:before="200"/>
      </w:pPr>
      <w:r>
        <w:rPr>
          <w:rFonts w:ascii="Arial" w:cs="Arial" w:eastAsia="Arial" w:hAnsi="Arial"/>
          <w:b/>
          <w:bCs/>
          <w:color w:val="2E5797"/>
          <w:sz w:val="24"/>
          <w:szCs w:val="24"/>
        </w:rPr>
        <w:t xml:space="preserve">Mid-Market Recovery</w:t>
      </w:r>
    </w:p>
    <w:p>
      <w:pPr>
        <w:spacing w:after="140"/>
      </w:pPr>
      <w:r>
        <w:rPr>
          <w:rFonts w:ascii="Arial" w:cs="Arial" w:eastAsia="Arial" w:hAnsi="Arial"/>
          <w:sz w:val="22"/>
          <w:szCs w:val="22"/>
        </w:rPr>
        <w:t xml:space="preserve">Mid-market delivered £1,008,000 against a target of £900,000 — a recovery from Q1's shortfall that reflects both the carry-over deals closing in April and genuine improvement in conversion rates. The average sales cycle in mid-market reduced from 58 days in Q1 to 51 days in Q2, partly attributable to a revised proposal process introduced in March.</w:t>
      </w:r>
    </w:p>
    <w:p>
      <w:pPr>
        <w:spacing w:after="100"/>
      </w:pPr>
      <w:r>
        <w:t xml:space="preserve"/>
      </w:r>
    </w:p>
    <w:p>
      <w:pPr>
        <w:pStyle w:val="Heading2"/>
        <w:spacing w:after="100" w:before="200"/>
      </w:pPr>
      <w:r>
        <w:rPr>
          <w:rFonts w:ascii="Arial" w:cs="Arial" w:eastAsia="Arial" w:hAnsi="Arial"/>
          <w:b/>
          <w:bCs/>
          <w:color w:val="2E5797"/>
          <w:sz w:val="24"/>
          <w:szCs w:val="24"/>
        </w:rPr>
        <w:t xml:space="preserve">Pipeline Status</w:t>
      </w:r>
    </w:p>
    <w:p>
      <w:pPr>
        <w:spacing w:after="140"/>
      </w:pPr>
      <w:r>
        <w:rPr>
          <w:rFonts w:ascii="Arial" w:cs="Arial" w:eastAsia="Arial" w:hAnsi="Arial"/>
          <w:sz w:val="22"/>
          <w:szCs w:val="22"/>
        </w:rPr>
        <w:t xml:space="preserve">The qualified pipeline entering Q3 stands at £5.2 million, up from £4.1 million at the start of Q2. This represents the highest pipeline figure the commercial team has recorded and gives strong coverage against the Q3 target of £3.2 million.</w:t>
      </w:r>
    </w:p>
    <w:p>
      <w:pPr>
        <w:spacing w:after="140"/>
      </w:pPr>
      <w:r>
        <w:rPr>
          <w:rFonts w:ascii="Arial" w:cs="Arial" w:eastAsia="Arial" w:hAnsi="Arial"/>
          <w:sz w:val="22"/>
          <w:szCs w:val="22"/>
        </w:rPr>
        <w:t xml:space="preserve">However, concentration risk has increased — the top five opportunities in the pipeline represent 61% of the total qualified pipeline value. The sales leadership team is actively working to broaden pipeline distribution.</w:t>
      </w:r>
    </w:p>
    <w:p>
      <w:pPr>
        <w:spacing w:after="100"/>
      </w:pPr>
      <w:r>
        <w:t xml:space="preserve"/>
      </w:r>
    </w:p>
    <w:p>
      <w:pPr>
        <w:pStyle w:val="Heading1"/>
        <w:spacing w:after="160" w:before="320"/>
      </w:pPr>
      <w:r>
        <w:rPr>
          <w:rFonts w:ascii="Arial" w:cs="Arial" w:eastAsia="Arial" w:hAnsi="Arial"/>
          <w:b/>
          <w:bCs/>
          <w:color w:val="1F3864"/>
          <w:sz w:val="28"/>
          <w:szCs w:val="28"/>
        </w:rPr>
        <w:t xml:space="preserve">Renewals and Retention</w:t>
      </w:r>
    </w:p>
    <w:p>
      <w:pPr>
        <w:spacing w:after="140"/>
      </w:pPr>
      <w:r>
        <w:rPr>
          <w:rFonts w:ascii="Arial" w:cs="Arial" w:eastAsia="Arial" w:hAnsi="Arial"/>
          <w:sz w:val="22"/>
          <w:szCs w:val="22"/>
        </w:rPr>
        <w:t xml:space="preserve">Renewal rate for Q2 was 93%, against a target of 92%. Twenty-two accounts came up for renewal — twenty-one renewed, one did not.</w:t>
      </w:r>
    </w:p>
    <w:p>
      <w:pPr>
        <w:spacing w:after="140"/>
      </w:pPr>
      <w:r>
        <w:rPr>
          <w:rFonts w:ascii="Arial" w:cs="Arial" w:eastAsia="Arial" w:hAnsi="Arial"/>
          <w:sz w:val="22"/>
          <w:szCs w:val="22"/>
        </w:rPr>
        <w:t xml:space="preserve">The non-renewal was a small SME account with an ACV of £8,400, lost primarily on price. The customer cited a lower-cost alternative from the same market entrant flagged in the Q1 report.</w:t>
      </w:r>
    </w:p>
    <w:p>
      <w:pPr>
        <w:spacing w:after="140"/>
      </w:pPr>
      <w:r>
        <w:rPr>
          <w:rFonts w:ascii="Arial" w:cs="Arial" w:eastAsia="Arial" w:hAnsi="Arial"/>
          <w:sz w:val="22"/>
          <w:szCs w:val="22"/>
        </w:rPr>
        <w:t xml:space="preserve">Upsell revenue of £220,000 was ahead of target and included a significant expansion by Pemberton Capital Group, who added two further business units to their deployment in June.</w:t>
      </w:r>
    </w:p>
    <w:p>
      <w:pPr>
        <w:spacing w:after="100"/>
      </w:pPr>
      <w:r>
        <w:t xml:space="preserve"/>
      </w:r>
    </w:p>
    <w:p>
      <w:pPr>
        <w:pStyle w:val="Heading1"/>
        <w:spacing w:after="160" w:before="320"/>
      </w:pPr>
      <w:r>
        <w:rPr>
          <w:rFonts w:ascii="Arial" w:cs="Arial" w:eastAsia="Arial" w:hAnsi="Arial"/>
          <w:b/>
          <w:bCs/>
          <w:color w:val="1F3864"/>
          <w:sz w:val="28"/>
          <w:szCs w:val="28"/>
        </w:rPr>
        <w:t xml:space="preserve">Team and Operations</w:t>
      </w:r>
    </w:p>
    <w:p>
      <w:pPr>
        <w:pStyle w:val="Heading2"/>
        <w:spacing w:after="100" w:before="200"/>
      </w:pPr>
      <w:r>
        <w:rPr>
          <w:rFonts w:ascii="Arial" w:cs="Arial" w:eastAsia="Arial" w:hAnsi="Arial"/>
          <w:b/>
          <w:bCs/>
          <w:color w:val="2E5797"/>
          <w:sz w:val="24"/>
          <w:szCs w:val="24"/>
        </w:rPr>
        <w:t xml:space="preserve">Headcount</w:t>
      </w:r>
    </w:p>
    <w:p>
      <w:pPr>
        <w:spacing w:after="140"/>
      </w:pPr>
      <w:r>
        <w:rPr>
          <w:rFonts w:ascii="Arial" w:cs="Arial" w:eastAsia="Arial" w:hAnsi="Arial"/>
          <w:sz w:val="22"/>
          <w:szCs w:val="22"/>
        </w:rPr>
        <w:t xml:space="preserve">The commercial team ended Q2 at 16 people, with two new account executives joining in May. One of the two sales development representatives was promoted to account executive in June following strong performance — a replacement SDR hire is underway. The team is at full planned headcount for H2.</w:t>
      </w:r>
    </w:p>
    <w:p>
      <w:pPr>
        <w:spacing w:after="100"/>
      </w:pPr>
      <w:r>
        <w:t xml:space="preserve"/>
      </w:r>
    </w:p>
    <w:p>
      <w:pPr>
        <w:pStyle w:val="Heading2"/>
        <w:spacing w:after="100" w:before="200"/>
      </w:pPr>
      <w:r>
        <w:rPr>
          <w:rFonts w:ascii="Arial" w:cs="Arial" w:eastAsia="Arial" w:hAnsi="Arial"/>
          <w:b/>
          <w:bCs/>
          <w:color w:val="2E5797"/>
          <w:sz w:val="24"/>
          <w:szCs w:val="24"/>
        </w:rPr>
        <w:t xml:space="preserve">Activity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256"/>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Q2 2026</w:t>
            </w:r>
          </w:p>
        </w:tc>
        <w:tc>
          <w:tcPr>
            <w:tcW w:type="dxa" w:w="2257"/>
            <w:tcBorders>
              <w:top w:val="single" w:color="CCCCCC" w:sz="1"/>
              <w:left w:val="single" w:color="CCCCCC" w:sz="1"/>
              <w:bottom w:val="single" w:color="CCCCCC" w:sz="1"/>
              <w:right w:val="single" w:color="CCCCCC" w:sz="1"/>
            </w:tcBorders>
            <w:shd w:fill="2E5797" w:val="clear"/>
            <w:tcMar>
              <w:top w:type="dxa" w:w="100"/>
              <w:left w:type="dxa" w:w="120"/>
              <w:bottom w:type="dxa" w:w="100"/>
              <w:right w:type="dxa" w:w="120"/>
            </w:tcMar>
          </w:tcPr>
          <w:p>
            <w:r>
              <w:rPr>
                <w:rFonts w:ascii="Arial" w:cs="Arial" w:eastAsia="Arial" w:hAnsi="Arial"/>
                <w:b/>
                <w:bCs/>
                <w:color w:val="FFFFFF"/>
                <w:sz w:val="20"/>
                <w:szCs w:val="20"/>
              </w:rPr>
              <w:t xml:space="preserve">Q1 2026</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Outbound calls made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2,104</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1,847</w:t>
            </w:r>
          </w:p>
        </w:tc>
      </w:tr>
      <w:tr>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Demos delivered</w:t>
            </w:r>
          </w:p>
        </w:tc>
        <w:tc>
          <w:tcPr>
            <w:tcW w:type="dxa" w:w="225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108</w:t>
            </w:r>
          </w:p>
        </w:tc>
        <w:tc>
          <w:tcPr>
            <w:tcW w:type="dxa" w:w="225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94</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Proposals sent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74</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61</w:t>
            </w:r>
          </w:p>
        </w:tc>
      </w:tr>
      <w:tr>
        <w:tc>
          <w:tcPr>
            <w:tcW w:type="dxa" w:w="4513"/>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Average deal cycle (enterprise)</w:t>
            </w:r>
          </w:p>
        </w:tc>
        <w:tc>
          <w:tcPr>
            <w:tcW w:type="dxa" w:w="225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71 days</w:t>
            </w:r>
          </w:p>
        </w:tc>
        <w:tc>
          <w:tcPr>
            <w:tcW w:type="dxa" w:w="2257"/>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22222"/>
                <w:sz w:val="20"/>
                <w:szCs w:val="20"/>
              </w:rPr>
              <w:t xml:space="preserve">67 days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Win rate (qualified opportunities)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34%</w:t>
            </w:r>
          </w:p>
        </w:tc>
        <w:tc>
          <w:tcPr>
            <w:tcW w:type="dxa" w:w="22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38%</w:t>
            </w:r>
          </w:p>
        </w:tc>
      </w:tr>
    </w:tbl>
    <w:p>
      <w:pPr>
        <w:spacing w:after="100"/>
      </w:pPr>
      <w:r>
        <w:t xml:space="preserve"/>
      </w:r>
    </w:p>
    <w:p>
      <w:pPr>
        <w:spacing w:after="100"/>
      </w:pPr>
      <w:r>
        <w:t xml:space="preserve"/>
      </w:r>
    </w:p>
    <w:p>
      <w:pPr>
        <w:pStyle w:val="Heading1"/>
        <w:spacing w:after="160" w:before="320"/>
      </w:pPr>
      <w:r>
        <w:rPr>
          <w:rFonts w:ascii="Arial" w:cs="Arial" w:eastAsia="Arial" w:hAnsi="Arial"/>
          <w:b/>
          <w:bCs/>
          <w:color w:val="1F3864"/>
          <w:sz w:val="28"/>
          <w:szCs w:val="28"/>
        </w:rPr>
        <w:t xml:space="preserve">Challenges and Risks</w:t>
      </w:r>
    </w:p>
    <w:p>
      <w:pPr>
        <w:pStyle w:val="Heading2"/>
        <w:spacing w:after="100" w:before="200"/>
      </w:pPr>
      <w:r>
        <w:rPr>
          <w:rFonts w:ascii="Arial" w:cs="Arial" w:eastAsia="Arial" w:hAnsi="Arial"/>
          <w:b/>
          <w:bCs/>
          <w:color w:val="2E5797"/>
          <w:sz w:val="24"/>
          <w:szCs w:val="24"/>
        </w:rPr>
        <w:t xml:space="preserve">Enterprise Deal Slippage</w:t>
      </w:r>
    </w:p>
    <w:p>
      <w:pPr>
        <w:spacing w:after="140"/>
      </w:pPr>
      <w:r>
        <w:rPr>
          <w:rFonts w:ascii="Arial" w:cs="Arial" w:eastAsia="Arial" w:hAnsi="Arial"/>
          <w:sz w:val="22"/>
          <w:szCs w:val="22"/>
        </w:rPr>
        <w:t xml:space="preserve">The enterprise segment has now experienced meaningful deal slippage in two consecutive quarters — the two delayed signings in Q1 and the Granville Partners freeze in Q2. While the Q1 slippage resolved quickly, the Q2 situation reflects an external risk that is harder to mitigate: large enterprise buyers pausing on discretionary spend in response to macro conditions.</w:t>
      </w:r>
    </w:p>
    <w:p>
      <w:pPr>
        <w:spacing w:after="140"/>
      </w:pPr>
      <w:r>
        <w:rPr>
          <w:rFonts w:ascii="Arial" w:cs="Arial" w:eastAsia="Arial" w:hAnsi="Arial"/>
          <w:sz w:val="22"/>
          <w:szCs w:val="22"/>
        </w:rPr>
        <w:t xml:space="preserve">The enterprise team has been asked to increase the number of active opportunities at qualification stage to reduce dependence on individual large deals, and to identify earlier warning signals in the buying process that may indicate risk of delay.</w:t>
      </w:r>
    </w:p>
    <w:p>
      <w:pPr>
        <w:spacing w:after="100"/>
      </w:pPr>
      <w:r>
        <w:t xml:space="preserve"/>
      </w:r>
    </w:p>
    <w:p>
      <w:pPr>
        <w:pStyle w:val="Heading2"/>
        <w:spacing w:after="100" w:before="200"/>
      </w:pPr>
      <w:r>
        <w:rPr>
          <w:rFonts w:ascii="Arial" w:cs="Arial" w:eastAsia="Arial" w:hAnsi="Arial"/>
          <w:b/>
          <w:bCs/>
          <w:color w:val="2E5797"/>
          <w:sz w:val="24"/>
          <w:szCs w:val="24"/>
        </w:rPr>
        <w:t xml:space="preserve">Competitive Pricing Pressure</w:t>
      </w:r>
    </w:p>
    <w:p>
      <w:pPr>
        <w:spacing w:after="140"/>
      </w:pPr>
      <w:r>
        <w:rPr>
          <w:rFonts w:ascii="Arial" w:cs="Arial" w:eastAsia="Arial" w:hAnsi="Arial"/>
          <w:sz w:val="22"/>
          <w:szCs w:val="22"/>
        </w:rPr>
        <w:t xml:space="preserve">The low-cost competitor flagged in Q1 was cited in three further lost deals in Q2. Competitive intelligence gathered by the team suggests the competitor is operating below sustainable pricing to gain market share. Leadership is monitoring the situation and will review pricing strategy in the H2 planning session. At this stage, a direct price response is not recommended — the preferred approach is to strengthen value differentiation rather than compete on price.</w:t>
      </w:r>
    </w:p>
    <w:p>
      <w:pPr>
        <w:spacing w:after="100"/>
      </w:pPr>
      <w:r>
        <w:t xml:space="preserve"/>
      </w:r>
    </w:p>
    <w:p>
      <w:pPr>
        <w:pStyle w:val="Heading2"/>
        <w:spacing w:after="100" w:before="200"/>
      </w:pPr>
      <w:r>
        <w:rPr>
          <w:rFonts w:ascii="Arial" w:cs="Arial" w:eastAsia="Arial" w:hAnsi="Arial"/>
          <w:b/>
          <w:bCs/>
          <w:color w:val="2E5797"/>
          <w:sz w:val="24"/>
          <w:szCs w:val="24"/>
        </w:rPr>
        <w:t xml:space="preserve">Win Rate Decline</w:t>
      </w:r>
    </w:p>
    <w:p>
      <w:pPr>
        <w:spacing w:after="140"/>
      </w:pPr>
      <w:r>
        <w:rPr>
          <w:rFonts w:ascii="Arial" w:cs="Arial" w:eastAsia="Arial" w:hAnsi="Arial"/>
          <w:sz w:val="22"/>
          <w:szCs w:val="22"/>
        </w:rPr>
        <w:t xml:space="preserve">The overall win rate on qualified opportunities declined from 38% in Q1 to 34% in Q2. This is partially explained by a higher volume of enterprise opportunities in the pipeline — enterprise deals have a naturally lower win rate than mid-market. However, the sales leadership team is reviewing the qualification process to ensure the pipeline remains an accurate representation of genuine opportunities.</w:t>
      </w:r>
    </w:p>
    <w:p>
      <w:pPr>
        <w:spacing w:after="100"/>
      </w:pPr>
      <w:r>
        <w:t xml:space="preserve"/>
      </w:r>
    </w:p>
    <w:p>
      <w:pPr>
        <w:pStyle w:val="Heading1"/>
        <w:spacing w:after="160" w:before="320"/>
      </w:pPr>
      <w:r>
        <w:rPr>
          <w:rFonts w:ascii="Arial" w:cs="Arial" w:eastAsia="Arial" w:hAnsi="Arial"/>
          <w:b/>
          <w:bCs/>
          <w:color w:val="1F3864"/>
          <w:sz w:val="28"/>
          <w:szCs w:val="28"/>
        </w:rPr>
        <w:t xml:space="preserve">H2 Outlook and Q3 Priorities</w:t>
      </w:r>
    </w:p>
    <w:p>
      <w:pPr>
        <w:spacing w:after="140"/>
      </w:pPr>
      <w:r>
        <w:rPr>
          <w:rFonts w:ascii="Arial" w:cs="Arial" w:eastAsia="Arial" w:hAnsi="Arial"/>
          <w:sz w:val="22"/>
          <w:szCs w:val="22"/>
        </w:rPr>
        <w:t xml:space="preserve">The H2 target is £6.25 million across Q3 and Q4, with Q3 carrying a target of £3.2 million. The pipeline entering H2 is the strongest the team has seen, and H1 performance gives confidence that the full-year target of £12 million remains achievable.</w:t>
      </w:r>
    </w:p>
    <w:p>
      <w:pPr>
        <w:spacing w:after="140"/>
      </w:pPr>
      <w:r>
        <w:rPr>
          <w:rFonts w:ascii="Arial" w:cs="Arial" w:eastAsia="Arial" w:hAnsi="Arial"/>
          <w:sz w:val="22"/>
          <w:szCs w:val="22"/>
        </w:rPr>
        <w:t xml:space="preserve">Three priorities for Q3:</w:t>
      </w:r>
    </w:p>
    <w:p>
      <w:pPr>
        <w:pStyle w:val="ListParagraph"/>
        <w:numPr>
          <w:ilvl w:val="0"/>
          <w:numId w:val="2"/>
        </w:numPr>
        <w:spacing w:after="100"/>
      </w:pPr>
      <w:r>
        <w:rPr>
          <w:rFonts w:ascii="Arial" w:cs="Arial" w:eastAsia="Arial" w:hAnsi="Arial"/>
          <w:sz w:val="22"/>
          <w:szCs w:val="22"/>
        </w:rPr>
        <w:t xml:space="preserve">Reduce pipeline concentration — grow the number of qualified opportunities in the £50,000 to £150,000 ACV range to reduce dependency on a small number of large deals.</w:t>
      </w:r>
    </w:p>
    <w:p>
      <w:pPr>
        <w:pStyle w:val="ListParagraph"/>
        <w:numPr>
          <w:ilvl w:val="0"/>
          <w:numId w:val="2"/>
        </w:numPr>
        <w:spacing w:after="100"/>
      </w:pPr>
      <w:r>
        <w:rPr>
          <w:rFonts w:ascii="Arial" w:cs="Arial" w:eastAsia="Arial" w:hAnsi="Arial"/>
          <w:sz w:val="22"/>
          <w:szCs w:val="22"/>
        </w:rPr>
        <w:t xml:space="preserve">Build on financial services momentum — target three additional wins from the sector in Q3, with particular focus on asset management firms where initial conversations have been most receptive.</w:t>
      </w:r>
    </w:p>
    <w:p>
      <w:pPr>
        <w:pStyle w:val="ListParagraph"/>
        <w:numPr>
          <w:ilvl w:val="0"/>
          <w:numId w:val="2"/>
        </w:numPr>
        <w:spacing w:after="100"/>
      </w:pPr>
      <w:r>
        <w:rPr>
          <w:rFonts w:ascii="Arial" w:cs="Arial" w:eastAsia="Arial" w:hAnsi="Arial"/>
          <w:sz w:val="22"/>
          <w:szCs w:val="22"/>
        </w:rPr>
        <w:t xml:space="preserve">Address win rate decline — implement revised qualification criteria by end of July and review impact on win rate at the Q3 mid-point.</w:t>
      </w:r>
    </w:p>
    <w:p>
      <w:pPr>
        <w:spacing w:after="100"/>
      </w:pPr>
      <w:r>
        <w:t xml:space="preserve"/>
      </w:r>
    </w:p>
    <w:p>
      <w:pPr>
        <w:spacing w:after="140"/>
      </w:pPr>
      <w:r>
        <w:rPr>
          <w:rFonts w:ascii="Arial" w:cs="Arial" w:eastAsia="Arial" w:hAnsi="Arial"/>
          <w:b/>
          <w:bCs/>
          <w:sz w:val="22"/>
          <w:szCs w:val="22"/>
        </w:rPr>
        <w:t xml:space="preserve">Rachel Okonkwo</w:t>
      </w:r>
    </w:p>
    <w:p>
      <w:pPr>
        <w:spacing w:after="140"/>
      </w:pPr>
      <w:r>
        <w:rPr>
          <w:rFonts w:ascii="Arial" w:cs="Arial" w:eastAsia="Arial" w:hAnsi="Arial"/>
          <w:sz w:val="22"/>
          <w:szCs w:val="22"/>
        </w:rPr>
        <w:t xml:space="preserve">Head of Commercial, Hartfield Solutions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2026-05-31T16:52:51.774Z</dcterms:created>
  <dcterms:modified xsi:type="dcterms:W3CDTF">2026-05-31T16:52:51.774Z</dcterms:modified>
</cp:coreProperties>
</file>

<file path=docProps/custom.xml><?xml version="1.0" encoding="utf-8"?>
<Properties xmlns="http://schemas.openxmlformats.org/officeDocument/2006/custom-properties" xmlns:vt="http://schemas.openxmlformats.org/officeDocument/2006/docPropsVTypes"/>
</file>