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C93E" w14:textId="77777777" w:rsidR="00EE7726" w:rsidRPr="000B756F" w:rsidRDefault="00EE7726" w:rsidP="00DE7514">
      <w:pPr>
        <w:pStyle w:val="CHTitle"/>
      </w:pPr>
      <w:bookmarkStart w:id="0" w:name="_Toc447716611"/>
      <w:bookmarkStart w:id="1" w:name="_Toc442196127"/>
      <w:r w:rsidRPr="000B756F">
        <w:t>Refe</w:t>
      </w:r>
      <w:bookmarkStart w:id="2" w:name="_GoBack"/>
      <w:bookmarkEnd w:id="2"/>
      <w:r w:rsidRPr="000B756F">
        <w:t>rences</w:t>
      </w:r>
      <w:bookmarkEnd w:id="0"/>
      <w:bookmarkEnd w:id="1"/>
    </w:p>
    <w:p w14:paraId="21821A14" w14:textId="77777777" w:rsidR="00EE7726" w:rsidRDefault="00EE7726" w:rsidP="00DE7514">
      <w:pPr>
        <w:pStyle w:val="ChapterReferences"/>
        <w:rPr>
          <w:rFonts w:cs="Times New Roman"/>
        </w:rPr>
      </w:pPr>
      <w:r>
        <w:t>Ahluwalia, R., and R.E. Burnkrant. 1993. “</w:t>
      </w:r>
      <w:r w:rsidRPr="00D02B79">
        <w:t>A Framework for Explaining Multiple Request Effectiveness: The Role of Attitude Towards the Request</w:t>
      </w:r>
      <w:r>
        <w:t xml:space="preserve">.” </w:t>
      </w:r>
      <w:r w:rsidRPr="00DE7514">
        <w:rPr>
          <w:rStyle w:val="italics"/>
        </w:rPr>
        <w:t>Advances in Consumer Research</w:t>
      </w:r>
      <w:r w:rsidRPr="0087250D">
        <w:rPr>
          <w:i/>
        </w:rPr>
        <w:t xml:space="preserve"> </w:t>
      </w:r>
      <w:r w:rsidRPr="00D02B79">
        <w:t>20</w:t>
      </w:r>
      <w:r>
        <w:t>:</w:t>
      </w:r>
      <w:r w:rsidRPr="00D02B79">
        <w:t xml:space="preserve"> 620-624</w:t>
      </w:r>
      <w:r>
        <w:t>.</w:t>
      </w:r>
    </w:p>
    <w:p w14:paraId="172F40D8" w14:textId="77777777" w:rsidR="00EE7726" w:rsidRPr="007C5DA1" w:rsidRDefault="00EE7726" w:rsidP="00DE7514">
      <w:pPr>
        <w:pStyle w:val="ChapterReferences"/>
      </w:pPr>
      <w:r>
        <w:t xml:space="preserve">Bingham, T., and M. Conner. 2015. </w:t>
      </w:r>
      <w:r w:rsidRPr="00DE7514">
        <w:rPr>
          <w:rStyle w:val="italics"/>
        </w:rPr>
        <w:t>The New Social Learning: Connect, Collaborate, Work.</w:t>
      </w:r>
      <w:r>
        <w:t xml:space="preserve"> Alexandria, VA: ATD Press.</w:t>
      </w:r>
    </w:p>
    <w:p w14:paraId="0AD74E34" w14:textId="77777777" w:rsidR="00EE7726" w:rsidRPr="000B756F" w:rsidRDefault="00EE7726" w:rsidP="00DE7514">
      <w:pPr>
        <w:pStyle w:val="ChapterReferences"/>
      </w:pPr>
      <w:r w:rsidRPr="000B756F">
        <w:t>Borzak, L.</w:t>
      </w:r>
      <w:r>
        <w:t>,</w:t>
      </w:r>
      <w:r w:rsidRPr="000B756F">
        <w:t xml:space="preserve"> ed. 1981 </w:t>
      </w:r>
      <w:r w:rsidRPr="00DE7514">
        <w:rPr>
          <w:rStyle w:val="italics"/>
        </w:rPr>
        <w:t xml:space="preserve">Field Study. A Source Book for Experiential Learning. </w:t>
      </w:r>
      <w:r w:rsidRPr="000B756F">
        <w:t>Beverly Hills</w:t>
      </w:r>
      <w:r>
        <w:t>, CA</w:t>
      </w:r>
      <w:r w:rsidRPr="000B756F">
        <w:t>: Sage Publications.</w:t>
      </w:r>
    </w:p>
    <w:p w14:paraId="00DFC90E" w14:textId="72C3DA7F" w:rsidR="00EE7726" w:rsidRPr="000B756F" w:rsidRDefault="00EE7726" w:rsidP="00DE7514">
      <w:pPr>
        <w:pStyle w:val="ChapterReferences"/>
      </w:pPr>
      <w:r w:rsidRPr="000B756F">
        <w:t xml:space="preserve">Burger, J.M. 1999. </w:t>
      </w:r>
      <w:r>
        <w:t>“</w:t>
      </w:r>
      <w:r w:rsidRPr="000B756F">
        <w:t xml:space="preserve">The </w:t>
      </w:r>
      <w:r>
        <w:t>F</w:t>
      </w:r>
      <w:r w:rsidRPr="000B756F">
        <w:t>oot-in-the-</w:t>
      </w:r>
      <w:r>
        <w:t>D</w:t>
      </w:r>
      <w:r w:rsidRPr="000B756F">
        <w:t xml:space="preserve">oor </w:t>
      </w:r>
      <w:r>
        <w:t>C</w:t>
      </w:r>
      <w:r w:rsidRPr="000B756F">
        <w:t xml:space="preserve">ompliance </w:t>
      </w:r>
      <w:r>
        <w:t>P</w:t>
      </w:r>
      <w:r w:rsidRPr="000B756F">
        <w:t xml:space="preserve">rocedure: A </w:t>
      </w:r>
      <w:r>
        <w:t>M</w:t>
      </w:r>
      <w:r w:rsidRPr="000B756F">
        <w:t>ultiple-</w:t>
      </w:r>
      <w:r>
        <w:t>P</w:t>
      </w:r>
      <w:r w:rsidRPr="000B756F">
        <w:t xml:space="preserve">rocess </w:t>
      </w:r>
      <w:r>
        <w:t>A</w:t>
      </w:r>
      <w:r w:rsidRPr="000B756F">
        <w:t xml:space="preserve">nalysis and </w:t>
      </w:r>
      <w:r>
        <w:t>R</w:t>
      </w:r>
      <w:r w:rsidRPr="000B756F">
        <w:t>eview.</w:t>
      </w:r>
      <w:r>
        <w:t>”</w:t>
      </w:r>
      <w:r w:rsidRPr="000B756F">
        <w:t xml:space="preserve"> </w:t>
      </w:r>
      <w:r w:rsidRPr="00DE7514">
        <w:rPr>
          <w:rStyle w:val="italics"/>
        </w:rPr>
        <w:t>Personality and Social Psychology Review</w:t>
      </w:r>
      <w:r w:rsidRPr="000B756F">
        <w:t xml:space="preserve"> 3</w:t>
      </w:r>
      <w:r w:rsidR="006048C2">
        <w:t>:</w:t>
      </w:r>
      <w:r w:rsidRPr="000B756F">
        <w:t xml:space="preserve"> 303-325.</w:t>
      </w:r>
    </w:p>
    <w:p w14:paraId="2430DF5A" w14:textId="77777777" w:rsidR="00EE7726" w:rsidRPr="00E46B36" w:rsidRDefault="00EE7726" w:rsidP="00DE7514">
      <w:pPr>
        <w:pStyle w:val="ChapterReferences"/>
      </w:pPr>
      <w:r w:rsidRPr="00E46B36">
        <w:t>Bynum, W.F.</w:t>
      </w:r>
      <w:r>
        <w:t>,</w:t>
      </w:r>
      <w:r w:rsidRPr="00E46B36">
        <w:t xml:space="preserve"> and </w:t>
      </w:r>
      <w:r>
        <w:t xml:space="preserve">R. </w:t>
      </w:r>
      <w:r w:rsidRPr="00E46B36">
        <w:t>Porter, eds</w:t>
      </w:r>
      <w:r>
        <w:t>.</w:t>
      </w:r>
      <w:r w:rsidRPr="00E46B36">
        <w:t xml:space="preserve"> 2005</w:t>
      </w:r>
      <w:r>
        <w:t>.</w:t>
      </w:r>
      <w:r w:rsidRPr="00E46B36">
        <w:t xml:space="preserve"> </w:t>
      </w:r>
      <w:r w:rsidRPr="00DE7514">
        <w:rPr>
          <w:rStyle w:val="italics"/>
        </w:rPr>
        <w:t>Oxford Dictionary of Scientific Quotations.</w:t>
      </w:r>
      <w:r w:rsidRPr="00E46B36">
        <w:t xml:space="preserve"> </w:t>
      </w:r>
      <w:r>
        <w:t xml:space="preserve">Oxford, UK: </w:t>
      </w:r>
      <w:r w:rsidRPr="00E46B36">
        <w:t xml:space="preserve">Oxford University Press. </w:t>
      </w:r>
    </w:p>
    <w:p w14:paraId="01F53B32" w14:textId="77777777" w:rsidR="00EE7726" w:rsidRDefault="00EE7726" w:rsidP="00DE7514">
      <w:pPr>
        <w:pStyle w:val="ChapterReferences"/>
      </w:pPr>
      <w:r>
        <w:t xml:space="preserve">Cain, S. 2012. </w:t>
      </w:r>
      <w:r w:rsidRPr="0087250D">
        <w:rPr>
          <w:i/>
        </w:rPr>
        <w:t xml:space="preserve">Quiet: </w:t>
      </w:r>
      <w:r w:rsidRPr="00DE7514">
        <w:rPr>
          <w:rStyle w:val="italics"/>
        </w:rPr>
        <w:t>The Power of Introverts in a World That Can't Stop Talking.</w:t>
      </w:r>
      <w:r>
        <w:t xml:space="preserve"> New York: Crown Publishers.</w:t>
      </w:r>
    </w:p>
    <w:p w14:paraId="37EC8E52" w14:textId="7E5B654E" w:rsidR="00EE7726" w:rsidRPr="000B756F" w:rsidRDefault="00EE7726" w:rsidP="00DE7514">
      <w:pPr>
        <w:pStyle w:val="ChapterReferences"/>
      </w:pPr>
      <w:r w:rsidRPr="000B756F">
        <w:t xml:space="preserve">Carter, C., A. MacDonald, and S. Ursu. 2000. November. Based on </w:t>
      </w:r>
      <w:r w:rsidR="00DE7514" w:rsidRPr="000B756F">
        <w:t xml:space="preserve">Findings Presented </w:t>
      </w:r>
      <w:r w:rsidRPr="000B756F">
        <w:t>at the 30th Annual Meeting of The Society for Neuroscience, New Orleans, LA.</w:t>
      </w:r>
    </w:p>
    <w:p w14:paraId="091CB4E0" w14:textId="4D672730" w:rsidR="00EE7726" w:rsidRPr="000B756F" w:rsidRDefault="00EE7726" w:rsidP="00DE7514">
      <w:pPr>
        <w:pStyle w:val="ChapterReferences"/>
      </w:pPr>
      <w:r w:rsidRPr="000B756F">
        <w:t xml:space="preserve">Collis, B., </w:t>
      </w:r>
      <w:r>
        <w:t>and</w:t>
      </w:r>
      <w:r w:rsidRPr="000B756F">
        <w:t xml:space="preserve"> </w:t>
      </w:r>
      <w:r>
        <w:t xml:space="preserve">A. </w:t>
      </w:r>
      <w:r w:rsidRPr="000B756F">
        <w:t>Margaryan</w:t>
      </w:r>
      <w:r>
        <w:t xml:space="preserve">. </w:t>
      </w:r>
      <w:r w:rsidRPr="000B756F">
        <w:t xml:space="preserve">2004. </w:t>
      </w:r>
      <w:r>
        <w:t>“</w:t>
      </w:r>
      <w:r w:rsidRPr="000B756F">
        <w:t xml:space="preserve">Applying </w:t>
      </w:r>
      <w:r>
        <w:t>A</w:t>
      </w:r>
      <w:r w:rsidRPr="000B756F">
        <w:t xml:space="preserve">ctivity </w:t>
      </w:r>
      <w:r>
        <w:t>T</w:t>
      </w:r>
      <w:r w:rsidRPr="000B756F">
        <w:t xml:space="preserve">heory to a </w:t>
      </w:r>
      <w:r>
        <w:t>C</w:t>
      </w:r>
      <w:r w:rsidRPr="000B756F">
        <w:t xml:space="preserve">omputer-supported </w:t>
      </w:r>
      <w:r>
        <w:t>C</w:t>
      </w:r>
      <w:r w:rsidRPr="000B756F">
        <w:t xml:space="preserve">ollaborative </w:t>
      </w:r>
      <w:r>
        <w:t>L</w:t>
      </w:r>
      <w:r w:rsidRPr="000B756F">
        <w:t xml:space="preserve">earning and </w:t>
      </w:r>
      <w:r>
        <w:t>W</w:t>
      </w:r>
      <w:r w:rsidRPr="000B756F">
        <w:t>ork-</w:t>
      </w:r>
      <w:r w:rsidR="006048C2" w:rsidRPr="000B756F">
        <w:t xml:space="preserve">Based </w:t>
      </w:r>
      <w:r>
        <w:t>A</w:t>
      </w:r>
      <w:r w:rsidRPr="000B756F">
        <w:t xml:space="preserve">ctivities in </w:t>
      </w:r>
      <w:r>
        <w:t>C</w:t>
      </w:r>
      <w:r w:rsidRPr="000B756F">
        <w:t xml:space="preserve">orporate </w:t>
      </w:r>
      <w:r>
        <w:t>S</w:t>
      </w:r>
      <w:r w:rsidRPr="000B756F">
        <w:t>ettings.</w:t>
      </w:r>
      <w:r>
        <w:t>”</w:t>
      </w:r>
      <w:r w:rsidRPr="000B756F">
        <w:t xml:space="preserve"> </w:t>
      </w:r>
      <w:r w:rsidRPr="00DE7514">
        <w:rPr>
          <w:rStyle w:val="italics"/>
        </w:rPr>
        <w:t xml:space="preserve">Educational Technology Research and Development Journal </w:t>
      </w:r>
      <w:r w:rsidRPr="000B756F">
        <w:t>52</w:t>
      </w:r>
      <w:r w:rsidR="006048C2">
        <w:t xml:space="preserve"> </w:t>
      </w:r>
      <w:r w:rsidRPr="000B756F">
        <w:t>(4)</w:t>
      </w:r>
      <w:r w:rsidR="006048C2">
        <w:t>:</w:t>
      </w:r>
      <w:r w:rsidRPr="000B756F">
        <w:t xml:space="preserve"> 38-52.</w:t>
      </w:r>
    </w:p>
    <w:p w14:paraId="2D53B657" w14:textId="77777777" w:rsidR="00EE7726" w:rsidRDefault="00EE7726" w:rsidP="00DE7514">
      <w:pPr>
        <w:pStyle w:val="ChapterReferences"/>
      </w:pPr>
      <w:r>
        <w:t xml:space="preserve">Cross, J. 2007. “What Is Informal Learning?” Informal Learning blog, November 27, 2007. </w:t>
      </w:r>
      <w:hyperlink r:id="rId6" w:history="1">
        <w:r w:rsidRPr="002211A4">
          <w:rPr>
            <w:rStyle w:val="Hyperlink"/>
            <w:rFonts w:cs="Times New Roman"/>
          </w:rPr>
          <w:t>www.informl.com/the-informal-learning-page/</w:t>
        </w:r>
      </w:hyperlink>
      <w:r>
        <w:t xml:space="preserve">. </w:t>
      </w:r>
    </w:p>
    <w:p w14:paraId="7F86ED96" w14:textId="77777777" w:rsidR="00EE7726" w:rsidRPr="00C93103" w:rsidRDefault="00EE7726" w:rsidP="00DE7514">
      <w:pPr>
        <w:pStyle w:val="ChapterReferences"/>
      </w:pPr>
      <w:r>
        <w:t>Donston-Miller, D. 2012. “</w:t>
      </w:r>
      <w:r w:rsidRPr="00C93103">
        <w:t>Why Your Business Can</w:t>
      </w:r>
      <w:r>
        <w:t>’</w:t>
      </w:r>
      <w:r w:rsidRPr="00C93103">
        <w:t>t Ignore Social Networking</w:t>
      </w:r>
      <w:r>
        <w:t xml:space="preserve">.” </w:t>
      </w:r>
      <w:r w:rsidRPr="00DE7514">
        <w:rPr>
          <w:rStyle w:val="italics"/>
        </w:rPr>
        <w:t xml:space="preserve">Networking Computing, </w:t>
      </w:r>
      <w:r>
        <w:t xml:space="preserve">January 6. </w:t>
      </w:r>
      <w:hyperlink r:id="rId7" w:history="1">
        <w:r w:rsidRPr="00EE2CDD">
          <w:rPr>
            <w:rStyle w:val="Hyperlink"/>
            <w:rFonts w:cs="Times New Roman"/>
          </w:rPr>
          <w:t>www.networkcomputing.com/networking/why-your-business-cant-ignore-social-networking/1104790041</w:t>
        </w:r>
      </w:hyperlink>
      <w:r>
        <w:t xml:space="preserve">. </w:t>
      </w:r>
    </w:p>
    <w:p w14:paraId="7655865B" w14:textId="77777777" w:rsidR="00EE7726" w:rsidRDefault="00EE7726" w:rsidP="00DE7514">
      <w:pPr>
        <w:pStyle w:val="ChapterReferences"/>
      </w:pPr>
      <w:r>
        <w:t xml:space="preserve">Dosher, B.A., and G. Rosedale. 1989. “Integrated Retrieval Cues as a Mechanism for Priming in Retrieval From Memory.” </w:t>
      </w:r>
      <w:r w:rsidRPr="00DE7514">
        <w:rPr>
          <w:rStyle w:val="italics"/>
        </w:rPr>
        <w:t>Journal of Experimental Psychology: General</w:t>
      </w:r>
      <w:r>
        <w:t xml:space="preserve"> 118 (2): 191-211.</w:t>
      </w:r>
    </w:p>
    <w:p w14:paraId="4A103C6E" w14:textId="6DF9B0C0" w:rsidR="00EE7726" w:rsidRPr="000B756F" w:rsidRDefault="00EE7726" w:rsidP="00DE7514">
      <w:pPr>
        <w:pStyle w:val="ChapterReferences"/>
      </w:pPr>
      <w:r w:rsidRPr="000B756F">
        <w:t xml:space="preserve">Freedman, J.L., </w:t>
      </w:r>
      <w:r>
        <w:t>and</w:t>
      </w:r>
      <w:r w:rsidRPr="000B756F">
        <w:t xml:space="preserve"> </w:t>
      </w:r>
      <w:r>
        <w:t xml:space="preserve">S.C. </w:t>
      </w:r>
      <w:r w:rsidRPr="000B756F">
        <w:t>Fraser</w:t>
      </w:r>
      <w:r>
        <w:t>.</w:t>
      </w:r>
      <w:r w:rsidRPr="000B756F">
        <w:t xml:space="preserve"> 1966. </w:t>
      </w:r>
      <w:r>
        <w:t>“</w:t>
      </w:r>
      <w:r w:rsidRPr="000B756F">
        <w:t>Compliance Without Pressure: The Foot-in-the-Door Technique.</w:t>
      </w:r>
      <w:r>
        <w:t>”</w:t>
      </w:r>
      <w:r w:rsidRPr="000B756F">
        <w:t xml:space="preserve"> </w:t>
      </w:r>
      <w:r w:rsidRPr="00DE7514">
        <w:rPr>
          <w:rStyle w:val="italics"/>
        </w:rPr>
        <w:t>Journal of Personality and Social Psychology</w:t>
      </w:r>
      <w:r w:rsidRPr="000B756F">
        <w:t xml:space="preserve"> 4</w:t>
      </w:r>
      <w:r w:rsidR="006048C2">
        <w:t xml:space="preserve"> </w:t>
      </w:r>
      <w:r w:rsidRPr="000B756F">
        <w:t>(2)</w:t>
      </w:r>
      <w:r w:rsidR="006048C2">
        <w:t>:</w:t>
      </w:r>
      <w:r w:rsidRPr="000B756F">
        <w:t xml:space="preserve"> 195</w:t>
      </w:r>
      <w:r w:rsidR="006048C2">
        <w:t>-</w:t>
      </w:r>
      <w:r w:rsidRPr="000B756F">
        <w:t xml:space="preserve">202. </w:t>
      </w:r>
    </w:p>
    <w:p w14:paraId="6BEB2D09" w14:textId="77777777" w:rsidR="00EE7726" w:rsidRDefault="00EE7726" w:rsidP="00DE7514">
      <w:pPr>
        <w:pStyle w:val="ChapterReferences"/>
      </w:pPr>
      <w:r>
        <w:t xml:space="preserve">Gallup. 2013. </w:t>
      </w:r>
      <w:r w:rsidRPr="00DE7514">
        <w:rPr>
          <w:rStyle w:val="italics"/>
        </w:rPr>
        <w:t>State of the Global Workplace: Employee Engagement Insights for Business Leaders Worldwide.</w:t>
      </w:r>
      <w:r>
        <w:t xml:space="preserve"> Washington, DC: Gallup.</w:t>
      </w:r>
    </w:p>
    <w:p w14:paraId="382BB3BF" w14:textId="77777777" w:rsidR="00EE7726" w:rsidRDefault="00EE7726" w:rsidP="00DE7514">
      <w:pPr>
        <w:pStyle w:val="ChapterReferences"/>
      </w:pPr>
      <w:r w:rsidRPr="00F158C3">
        <w:t>Geen, R</w:t>
      </w:r>
      <w:r>
        <w:t>.</w:t>
      </w:r>
      <w:r w:rsidRPr="00F158C3">
        <w:t>G.</w:t>
      </w:r>
      <w:r>
        <w:t xml:space="preserve"> 1984. “</w:t>
      </w:r>
      <w:r w:rsidRPr="00F158C3">
        <w:t>Preferred Stimulation Levels in Introverts and Extroverts: Effects on Arousal and Performance.</w:t>
      </w:r>
      <w:r>
        <w:t xml:space="preserve">” </w:t>
      </w:r>
      <w:r w:rsidRPr="00DE7514">
        <w:rPr>
          <w:rStyle w:val="italics"/>
        </w:rPr>
        <w:t>Journal of Personality and Social Psychology</w:t>
      </w:r>
      <w:r w:rsidRPr="00F158C3">
        <w:t xml:space="preserve"> 46</w:t>
      </w:r>
      <w:r>
        <w:t xml:space="preserve"> </w:t>
      </w:r>
      <w:r w:rsidRPr="00F158C3">
        <w:t>(6)</w:t>
      </w:r>
      <w:r>
        <w:t>:</w:t>
      </w:r>
      <w:r w:rsidRPr="00F158C3">
        <w:t xml:space="preserve"> 1303-1312. </w:t>
      </w:r>
    </w:p>
    <w:p w14:paraId="7F9B7B6D" w14:textId="2CA2A2DF" w:rsidR="00EE7726" w:rsidRPr="000B756F" w:rsidRDefault="00EE7726" w:rsidP="00DE7514">
      <w:pPr>
        <w:pStyle w:val="ChapterReferences"/>
      </w:pPr>
      <w:r w:rsidRPr="000B756F">
        <w:lastRenderedPageBreak/>
        <w:t xml:space="preserve">Hattie, J.A. 2009. </w:t>
      </w:r>
      <w:r w:rsidRPr="00DE7514">
        <w:rPr>
          <w:rStyle w:val="italics"/>
        </w:rPr>
        <w:t xml:space="preserve">Visible Learning: A Synthesis of </w:t>
      </w:r>
      <w:r w:rsidR="006048C2" w:rsidRPr="00DE7514">
        <w:rPr>
          <w:rStyle w:val="italics"/>
        </w:rPr>
        <w:t xml:space="preserve">Over </w:t>
      </w:r>
      <w:r w:rsidRPr="00DE7514">
        <w:rPr>
          <w:rStyle w:val="italics"/>
        </w:rPr>
        <w:t xml:space="preserve">800 Meta-Analyses Relating to Achievement. </w:t>
      </w:r>
      <w:r w:rsidRPr="000B756F">
        <w:t>London: Routledge.</w:t>
      </w:r>
    </w:p>
    <w:p w14:paraId="0ADB0B06" w14:textId="764F14E2" w:rsidR="00EE7726" w:rsidRPr="000B756F" w:rsidRDefault="00EE7726" w:rsidP="00DE7514">
      <w:pPr>
        <w:pStyle w:val="ChapterReferences"/>
      </w:pPr>
      <w:r w:rsidRPr="000B756F">
        <w:t xml:space="preserve">Jensen, E. 2000. </w:t>
      </w:r>
      <w:r w:rsidRPr="00DE7514">
        <w:rPr>
          <w:rStyle w:val="italics"/>
        </w:rPr>
        <w:t xml:space="preserve">Brain-Based Learning: The New Science of Teaching and Training. </w:t>
      </w:r>
      <w:r w:rsidRPr="000B756F">
        <w:t>San Diego</w:t>
      </w:r>
      <w:r w:rsidR="006048C2">
        <w:t>, CA</w:t>
      </w:r>
      <w:r w:rsidRPr="000B756F">
        <w:t>: The Brain Store Publishing.</w:t>
      </w:r>
    </w:p>
    <w:p w14:paraId="10429390" w14:textId="1FCBB4A8" w:rsidR="00EE7726" w:rsidRDefault="00EE7726" w:rsidP="00DE7514">
      <w:pPr>
        <w:pStyle w:val="ChapterReferences"/>
      </w:pPr>
      <w:r>
        <w:t xml:space="preserve">Kolb, D. 1984. </w:t>
      </w:r>
      <w:r w:rsidRPr="00DE7514">
        <w:rPr>
          <w:rStyle w:val="italics"/>
        </w:rPr>
        <w:t>Experiential Learning: Experience as the Source of Learning and Development.</w:t>
      </w:r>
      <w:r>
        <w:t xml:space="preserve"> Englewood Cliffs, NJ: Prentice Hall.</w:t>
      </w:r>
    </w:p>
    <w:p w14:paraId="6523BF7F" w14:textId="77777777" w:rsidR="00EE7726" w:rsidRDefault="00EE7726" w:rsidP="00DE7514">
      <w:pPr>
        <w:pStyle w:val="ChapterReferences"/>
      </w:pPr>
      <w:r>
        <w:t xml:space="preserve">Lawson, C. 2002. “The Connections Between Emotions and Learning.” The Center for Development &amp; Learning blog, January 1. </w:t>
      </w:r>
      <w:hyperlink r:id="rId8" w:history="1">
        <w:r w:rsidRPr="00EE2CDD">
          <w:rPr>
            <w:rStyle w:val="Hyperlink"/>
            <w:rFonts w:cs="Times New Roman"/>
          </w:rPr>
          <w:t>www.cdl.org/articles/the-connections-between-emotions-and-learning/</w:t>
        </w:r>
      </w:hyperlink>
      <w:r>
        <w:t xml:space="preserve">. </w:t>
      </w:r>
    </w:p>
    <w:p w14:paraId="27765038" w14:textId="56B92E5C" w:rsidR="00EE7726" w:rsidRPr="000B756F" w:rsidRDefault="00EE7726" w:rsidP="00DE7514">
      <w:pPr>
        <w:pStyle w:val="ChapterReferences"/>
      </w:pPr>
      <w:r w:rsidRPr="000B756F">
        <w:t xml:space="preserve">Li, M., </w:t>
      </w:r>
      <w:r>
        <w:t xml:space="preserve">W.H. </w:t>
      </w:r>
      <w:r w:rsidRPr="000B756F">
        <w:t xml:space="preserve">Mobley, </w:t>
      </w:r>
      <w:r>
        <w:t>and</w:t>
      </w:r>
      <w:r w:rsidRPr="000B756F">
        <w:t xml:space="preserve"> </w:t>
      </w:r>
      <w:r>
        <w:t xml:space="preserve">A. </w:t>
      </w:r>
      <w:r w:rsidRPr="000B756F">
        <w:t xml:space="preserve">Kelley 2013. </w:t>
      </w:r>
      <w:r>
        <w:t>“</w:t>
      </w:r>
      <w:r w:rsidRPr="000B756F">
        <w:t xml:space="preserve">When </w:t>
      </w:r>
      <w:r>
        <w:t>D</w:t>
      </w:r>
      <w:r w:rsidRPr="000B756F">
        <w:t xml:space="preserve">o </w:t>
      </w:r>
      <w:r>
        <w:t>G</w:t>
      </w:r>
      <w:r w:rsidRPr="000B756F">
        <w:t xml:space="preserve">lobal </w:t>
      </w:r>
      <w:r>
        <w:t>L</w:t>
      </w:r>
      <w:r w:rsidRPr="000B756F">
        <w:t xml:space="preserve">eaders </w:t>
      </w:r>
      <w:r>
        <w:t>L</w:t>
      </w:r>
      <w:r w:rsidRPr="000B756F">
        <w:t xml:space="preserve">earn </w:t>
      </w:r>
      <w:r>
        <w:t>B</w:t>
      </w:r>
      <w:r w:rsidRPr="000B756F">
        <w:t xml:space="preserve">est to </w:t>
      </w:r>
      <w:r>
        <w:t>D</w:t>
      </w:r>
      <w:r w:rsidRPr="000B756F">
        <w:t xml:space="preserve">evelop </w:t>
      </w:r>
      <w:r>
        <w:t>C</w:t>
      </w:r>
      <w:r w:rsidRPr="000B756F">
        <w:t xml:space="preserve">ultural </w:t>
      </w:r>
      <w:r>
        <w:t>I</w:t>
      </w:r>
      <w:r w:rsidRPr="000B756F">
        <w:t xml:space="preserve">ntelligence? An </w:t>
      </w:r>
      <w:r>
        <w:t>I</w:t>
      </w:r>
      <w:r w:rsidRPr="000B756F">
        <w:t xml:space="preserve">nvestigation of the </w:t>
      </w:r>
      <w:r>
        <w:t>M</w:t>
      </w:r>
      <w:r w:rsidRPr="000B756F">
        <w:t xml:space="preserve">oderating </w:t>
      </w:r>
      <w:r>
        <w:t>R</w:t>
      </w:r>
      <w:r w:rsidRPr="000B756F">
        <w:t xml:space="preserve">ole of </w:t>
      </w:r>
      <w:r>
        <w:t>E</w:t>
      </w:r>
      <w:r w:rsidRPr="000B756F">
        <w:t xml:space="preserve">xperiential </w:t>
      </w:r>
      <w:r>
        <w:t>L</w:t>
      </w:r>
      <w:r w:rsidRPr="000B756F">
        <w:t xml:space="preserve">earning </w:t>
      </w:r>
      <w:r>
        <w:t>S</w:t>
      </w:r>
      <w:r w:rsidRPr="000B756F">
        <w:t>tyle.</w:t>
      </w:r>
      <w:r>
        <w:t>”</w:t>
      </w:r>
      <w:r w:rsidRPr="000B756F">
        <w:t xml:space="preserve"> </w:t>
      </w:r>
      <w:r w:rsidRPr="00DE7514">
        <w:rPr>
          <w:rStyle w:val="italics"/>
        </w:rPr>
        <w:t>Academy of Management Learning and Education</w:t>
      </w:r>
      <w:r w:rsidRPr="000B756F">
        <w:t xml:space="preserve"> 12</w:t>
      </w:r>
      <w:r w:rsidR="006048C2">
        <w:t xml:space="preserve"> (1):</w:t>
      </w:r>
      <w:r w:rsidRPr="000B756F">
        <w:t xml:space="preserve"> 32-50.</w:t>
      </w:r>
    </w:p>
    <w:p w14:paraId="00F02919" w14:textId="3E14A83E" w:rsidR="00EE7726" w:rsidRPr="00145656" w:rsidRDefault="006048C2" w:rsidP="00DE7514">
      <w:pPr>
        <w:pStyle w:val="ChapterReferences"/>
      </w:pPr>
      <w:r>
        <w:t>Marquardt, M</w:t>
      </w:r>
      <w:r w:rsidR="00EE7726" w:rsidRPr="00145656">
        <w:t>.</w:t>
      </w:r>
      <w:r>
        <w:t xml:space="preserve"> </w:t>
      </w:r>
      <w:r w:rsidR="00EE7726" w:rsidRPr="00145656">
        <w:t>2004. “</w:t>
      </w:r>
      <w:r w:rsidR="00EE7726" w:rsidRPr="00E45C00">
        <w:t xml:space="preserve">Harnessing the </w:t>
      </w:r>
      <w:r w:rsidR="00EE7726">
        <w:t>P</w:t>
      </w:r>
      <w:r w:rsidR="00EE7726" w:rsidRPr="00145656">
        <w:t xml:space="preserve">ower of </w:t>
      </w:r>
      <w:r w:rsidR="00EE7726">
        <w:t>A</w:t>
      </w:r>
      <w:r w:rsidR="00EE7726" w:rsidRPr="00145656">
        <w:t xml:space="preserve">ction </w:t>
      </w:r>
      <w:r w:rsidR="00EE7726">
        <w:t>L</w:t>
      </w:r>
      <w:r w:rsidR="00EE7726" w:rsidRPr="00E45C00">
        <w:t xml:space="preserve">earning.” </w:t>
      </w:r>
      <w:r w:rsidR="00EE7726" w:rsidRPr="0087250D">
        <w:rPr>
          <w:i/>
        </w:rPr>
        <w:t>T</w:t>
      </w:r>
      <w:r>
        <w:rPr>
          <w:i/>
        </w:rPr>
        <w:t>+</w:t>
      </w:r>
      <w:r w:rsidR="00EE7726" w:rsidRPr="0087250D">
        <w:rPr>
          <w:i/>
        </w:rPr>
        <w:t>D</w:t>
      </w:r>
      <w:r>
        <w:t xml:space="preserve"> 8 (6): </w:t>
      </w:r>
      <w:r w:rsidR="00EE7726" w:rsidRPr="00E45C00">
        <w:t xml:space="preserve">26-32. </w:t>
      </w:r>
    </w:p>
    <w:p w14:paraId="186552C4" w14:textId="77777777" w:rsidR="00EE7726" w:rsidRPr="000B756F" w:rsidRDefault="00EE7726" w:rsidP="00DE7514">
      <w:pPr>
        <w:pStyle w:val="ChapterReferences"/>
      </w:pPr>
      <w:r w:rsidRPr="000B756F">
        <w:t>Martin A., and</w:t>
      </w:r>
      <w:r>
        <w:t xml:space="preserve"> </w:t>
      </w:r>
      <w:r w:rsidRPr="000B756F">
        <w:t xml:space="preserve">M. van Turennout. 2002. “Searching for the Neural Correlates of Object Priming.” In </w:t>
      </w:r>
      <w:r w:rsidRPr="00DE7514">
        <w:rPr>
          <w:rStyle w:val="italics"/>
        </w:rPr>
        <w:t>The Neuropsychology of Memory,</w:t>
      </w:r>
      <w:r w:rsidRPr="000B756F">
        <w:t xml:space="preserve"> 3rd ed.</w:t>
      </w:r>
      <w:r>
        <w:t>, e</w:t>
      </w:r>
      <w:r w:rsidRPr="000B756F">
        <w:t>dited by L.R. Squire and D.L. Schacter. New York: The Guilford Press.</w:t>
      </w:r>
    </w:p>
    <w:p w14:paraId="0224E2E7" w14:textId="3987367A" w:rsidR="00EE7726" w:rsidRPr="000B756F" w:rsidRDefault="00EE7726" w:rsidP="00DE7514">
      <w:pPr>
        <w:pStyle w:val="ChapterReferences"/>
      </w:pPr>
      <w:r w:rsidRPr="000B756F">
        <w:t>Medina, J. 2008.</w:t>
      </w:r>
      <w:r>
        <w:t xml:space="preserve"> </w:t>
      </w:r>
      <w:r w:rsidRPr="00DE7514">
        <w:rPr>
          <w:rStyle w:val="italics"/>
        </w:rPr>
        <w:t xml:space="preserve">Brain Rules: 12 Principles for Surviving and Thriving at Work, Home, and School. </w:t>
      </w:r>
      <w:r w:rsidRPr="000B756F">
        <w:t>Seattle: Pear Press.</w:t>
      </w:r>
    </w:p>
    <w:p w14:paraId="5C2171A6" w14:textId="77777777" w:rsidR="00EE7726" w:rsidRPr="009A2BD0" w:rsidRDefault="00EE7726" w:rsidP="00DE7514">
      <w:pPr>
        <w:pStyle w:val="ChapterReferences"/>
      </w:pPr>
      <w:r>
        <w:t xml:space="preserve">Monk, D. 2013. “John Dewey and Adult Learning in Museums.” </w:t>
      </w:r>
      <w:r w:rsidRPr="00DE7514">
        <w:rPr>
          <w:rStyle w:val="italics"/>
        </w:rPr>
        <w:t>Adult Learning</w:t>
      </w:r>
      <w:r>
        <w:t xml:space="preserve"> 24 (2): 63-71.</w:t>
      </w:r>
    </w:p>
    <w:p w14:paraId="0A11D892" w14:textId="77777777" w:rsidR="00EE7726" w:rsidRPr="0042103B" w:rsidRDefault="00EE7726" w:rsidP="00DE7514">
      <w:pPr>
        <w:pStyle w:val="ChapterReferences"/>
      </w:pPr>
      <w:r>
        <w:t xml:space="preserve">Montessori, M. 1946. </w:t>
      </w:r>
      <w:r w:rsidRPr="00DE7514">
        <w:rPr>
          <w:rStyle w:val="italics"/>
        </w:rPr>
        <w:t>Education for a New World.</w:t>
      </w:r>
      <w:r>
        <w:t xml:space="preserve"> Madras, India: Kalakshetra Publications.</w:t>
      </w:r>
    </w:p>
    <w:p w14:paraId="69AE1102" w14:textId="541DDCAD" w:rsidR="00EE7726" w:rsidRPr="00D464A2" w:rsidRDefault="00EE7726" w:rsidP="00DE7514">
      <w:pPr>
        <w:pStyle w:val="ChapterReferences"/>
      </w:pPr>
      <w:r>
        <w:t>Nichols, M. 2006. “</w:t>
      </w:r>
      <w:r w:rsidRPr="00D464A2">
        <w:t>Great Employees Make a Great Business</w:t>
      </w:r>
      <w:r>
        <w:t xml:space="preserve">” </w:t>
      </w:r>
      <w:r>
        <w:rPr>
          <w:i/>
        </w:rPr>
        <w:t>Bloomberg</w:t>
      </w:r>
      <w:r>
        <w:t xml:space="preserve">, March 31. </w:t>
      </w:r>
      <w:hyperlink r:id="rId9" w:history="1">
        <w:r w:rsidR="006048C2" w:rsidRPr="00D06AC0">
          <w:rPr>
            <w:rStyle w:val="Hyperlink"/>
            <w:rFonts w:cs="Times New Roman"/>
          </w:rPr>
          <w:t>www.bloomberg.com/news/articles/2006-03-30/great-employees-make-a-great-business</w:t>
        </w:r>
      </w:hyperlink>
      <w:r>
        <w:t>.</w:t>
      </w:r>
      <w:r w:rsidR="006048C2">
        <w:t xml:space="preserve"> </w:t>
      </w:r>
    </w:p>
    <w:p w14:paraId="55CF6DDD" w14:textId="4E675EA3" w:rsidR="00EE7726" w:rsidRPr="000B756F" w:rsidRDefault="00EE7726" w:rsidP="00DE7514">
      <w:pPr>
        <w:pStyle w:val="ChapterReferences"/>
      </w:pPr>
      <w:r w:rsidRPr="000B756F">
        <w:t>Petty, G</w:t>
      </w:r>
      <w:r w:rsidR="006048C2">
        <w:t>.</w:t>
      </w:r>
      <w:r w:rsidRPr="000B756F">
        <w:t xml:space="preserve"> </w:t>
      </w:r>
      <w:r w:rsidR="00F31803">
        <w:t>n.d.</w:t>
      </w:r>
      <w:r w:rsidRPr="000B756F">
        <w:t xml:space="preserve"> </w:t>
      </w:r>
      <w:r w:rsidR="006048C2">
        <w:t>“</w:t>
      </w:r>
      <w:r w:rsidRPr="000B756F">
        <w:t>An Introduction to Constructivism.</w:t>
      </w:r>
      <w:r w:rsidR="006048C2">
        <w:t>”</w:t>
      </w:r>
      <w:r w:rsidRPr="000B756F">
        <w:t xml:space="preserve"> </w:t>
      </w:r>
      <w:hyperlink r:id="rId10" w:history="1">
        <w:r w:rsidR="006048C2" w:rsidRPr="00D06AC0">
          <w:rPr>
            <w:rStyle w:val="Hyperlink"/>
            <w:rFonts w:cs="Times New Roman"/>
          </w:rPr>
          <w:t>http://geoffpetty.com/for-teachers/active-learning/</w:t>
        </w:r>
      </w:hyperlink>
      <w:r w:rsidR="006048C2">
        <w:t xml:space="preserve">. </w:t>
      </w:r>
    </w:p>
    <w:p w14:paraId="11B6A5F5" w14:textId="77777777" w:rsidR="00EE7726" w:rsidRPr="003B184F" w:rsidRDefault="00EE7726" w:rsidP="00DE7514">
      <w:pPr>
        <w:pStyle w:val="ChapterReferences"/>
      </w:pPr>
      <w:r>
        <w:t xml:space="preserve">Pink, D.H. 2009. </w:t>
      </w:r>
      <w:r w:rsidRPr="00DE7514">
        <w:rPr>
          <w:rStyle w:val="italics"/>
        </w:rPr>
        <w:t>Drive: The Surprising Truth About What Motivates Us.</w:t>
      </w:r>
      <w:r>
        <w:t xml:space="preserve"> New York: Riverhead Books.</w:t>
      </w:r>
    </w:p>
    <w:p w14:paraId="27096659" w14:textId="74F5E214" w:rsidR="00EE7726" w:rsidRPr="000B756F" w:rsidRDefault="00EE7726" w:rsidP="00DE7514">
      <w:pPr>
        <w:pStyle w:val="ChapterReferences"/>
      </w:pPr>
      <w:r w:rsidRPr="000B756F">
        <w:t xml:space="preserve">Prince, M. 2004. </w:t>
      </w:r>
      <w:r>
        <w:t>“</w:t>
      </w:r>
      <w:r w:rsidRPr="000B756F">
        <w:t xml:space="preserve">Does </w:t>
      </w:r>
      <w:r>
        <w:t>A</w:t>
      </w:r>
      <w:r w:rsidRPr="000B756F">
        <w:t xml:space="preserve">ctive </w:t>
      </w:r>
      <w:r>
        <w:t>L</w:t>
      </w:r>
      <w:r w:rsidRPr="000B756F">
        <w:t xml:space="preserve">earning </w:t>
      </w:r>
      <w:r>
        <w:t>W</w:t>
      </w:r>
      <w:r w:rsidRPr="000B756F">
        <w:t xml:space="preserve">ork? A </w:t>
      </w:r>
      <w:r>
        <w:t>R</w:t>
      </w:r>
      <w:r w:rsidRPr="000B756F">
        <w:t xml:space="preserve">eview of the </w:t>
      </w:r>
      <w:r>
        <w:t>R</w:t>
      </w:r>
      <w:r w:rsidRPr="000B756F">
        <w:t>esearch.</w:t>
      </w:r>
      <w:r>
        <w:t>”</w:t>
      </w:r>
      <w:r w:rsidRPr="000B756F">
        <w:t xml:space="preserve"> </w:t>
      </w:r>
      <w:r w:rsidRPr="00DE7514">
        <w:rPr>
          <w:rStyle w:val="italics"/>
        </w:rPr>
        <w:t>Journal of Engineering Education</w:t>
      </w:r>
      <w:r w:rsidRPr="000B756F">
        <w:t xml:space="preserve"> 93</w:t>
      </w:r>
      <w:r w:rsidR="006048C2">
        <w:t xml:space="preserve"> </w:t>
      </w:r>
      <w:r w:rsidRPr="000B756F">
        <w:t>(3)</w:t>
      </w:r>
      <w:r w:rsidR="006048C2">
        <w:t>:</w:t>
      </w:r>
      <w:r w:rsidRPr="000B756F">
        <w:t xml:space="preserve"> 223-231. </w:t>
      </w:r>
    </w:p>
    <w:p w14:paraId="2EA81C9B" w14:textId="77777777" w:rsidR="00EE7726" w:rsidRPr="000B756F" w:rsidRDefault="00EE7726" w:rsidP="00DE7514">
      <w:pPr>
        <w:pStyle w:val="ChapterReferences"/>
      </w:pPr>
      <w:r w:rsidRPr="000B756F">
        <w:t>Quinn, C</w:t>
      </w:r>
      <w:r>
        <w:t>.</w:t>
      </w:r>
      <w:r w:rsidRPr="000B756F">
        <w:t xml:space="preserve">N. </w:t>
      </w:r>
      <w:r>
        <w:t xml:space="preserve">2014. </w:t>
      </w:r>
      <w:r w:rsidRPr="00DE7514">
        <w:rPr>
          <w:rStyle w:val="italics"/>
        </w:rPr>
        <w:t>Revolutionize Learning and Development: Performance and Innovation Strategy for the Information Age.</w:t>
      </w:r>
      <w:r w:rsidRPr="000B756F">
        <w:t xml:space="preserve"> San Francisco: Wiley.</w:t>
      </w:r>
    </w:p>
    <w:p w14:paraId="025E2999" w14:textId="77777777" w:rsidR="00EE7726" w:rsidRDefault="00EE7726" w:rsidP="00DE7514">
      <w:pPr>
        <w:pStyle w:val="ChapterReferences"/>
      </w:pPr>
      <w:r>
        <w:t xml:space="preserve">Ratcliff, R., and G. McKoon. 1988. “A Retrieval Theory of Priming in Memory.” </w:t>
      </w:r>
      <w:r w:rsidRPr="00DE7514">
        <w:rPr>
          <w:rStyle w:val="italics"/>
        </w:rPr>
        <w:t>Psychological Review</w:t>
      </w:r>
      <w:r>
        <w:t xml:space="preserve"> 95 (3): 385-408. </w:t>
      </w:r>
    </w:p>
    <w:p w14:paraId="716E8A67" w14:textId="77777777" w:rsidR="00EE7726" w:rsidRPr="0042103B" w:rsidRDefault="00EE7726" w:rsidP="00DE7514">
      <w:pPr>
        <w:pStyle w:val="ChapterReferences"/>
      </w:pPr>
      <w:r>
        <w:t xml:space="preserve">Rifkin, G. 2013. “What Do P. Diddy, Sergey Brin, and Peter Drucker Have in Common?” </w:t>
      </w:r>
      <w:r w:rsidRPr="00DE7514">
        <w:rPr>
          <w:rStyle w:val="italics"/>
        </w:rPr>
        <w:t>Korn Ferry Briefings Magazine,</w:t>
      </w:r>
      <w:r>
        <w:t xml:space="preserve"> Q1.</w:t>
      </w:r>
    </w:p>
    <w:p w14:paraId="38C077A0" w14:textId="527A520A" w:rsidR="00EE7726" w:rsidRPr="000B756F" w:rsidRDefault="00EE7726" w:rsidP="00DE7514">
      <w:pPr>
        <w:pStyle w:val="ChapterReferences"/>
      </w:pPr>
      <w:r w:rsidRPr="000B756F">
        <w:t xml:space="preserve">Shaw, R.A. 2011. </w:t>
      </w:r>
      <w:r>
        <w:t>“</w:t>
      </w:r>
      <w:r w:rsidRPr="000B756F">
        <w:t xml:space="preserve">Employing </w:t>
      </w:r>
      <w:r>
        <w:t>U</w:t>
      </w:r>
      <w:r w:rsidRPr="000B756F">
        <w:t xml:space="preserve">niversal </w:t>
      </w:r>
      <w:r>
        <w:t>D</w:t>
      </w:r>
      <w:r w:rsidRPr="000B756F">
        <w:t xml:space="preserve">esign for </w:t>
      </w:r>
      <w:r>
        <w:t>I</w:t>
      </w:r>
      <w:r w:rsidRPr="000B756F">
        <w:t>nstruction.</w:t>
      </w:r>
      <w:r>
        <w:t>”</w:t>
      </w:r>
      <w:r w:rsidRPr="000B756F">
        <w:t xml:space="preserve"> </w:t>
      </w:r>
      <w:r w:rsidRPr="00DE7514">
        <w:rPr>
          <w:rStyle w:val="italics"/>
        </w:rPr>
        <w:t>New Directions for Student Services</w:t>
      </w:r>
      <w:r w:rsidRPr="000B756F">
        <w:t xml:space="preserve"> 134</w:t>
      </w:r>
      <w:r w:rsidR="006048C2">
        <w:t xml:space="preserve"> </w:t>
      </w:r>
      <w:r w:rsidRPr="000B756F">
        <w:t>(21)</w:t>
      </w:r>
      <w:r w:rsidR="006048C2">
        <w:t>:</w:t>
      </w:r>
      <w:r w:rsidRPr="000B756F">
        <w:t xml:space="preserve"> 22-23.</w:t>
      </w:r>
    </w:p>
    <w:p w14:paraId="4AB9F663" w14:textId="1D5DF402" w:rsidR="00EE7726" w:rsidRPr="000B756F" w:rsidRDefault="00EE7726" w:rsidP="00DE7514">
      <w:pPr>
        <w:pStyle w:val="ChapterReferences"/>
      </w:pPr>
      <w:r w:rsidRPr="000B756F">
        <w:t>Ultanir, E</w:t>
      </w:r>
      <w:r w:rsidR="006048C2">
        <w:t xml:space="preserve">. </w:t>
      </w:r>
      <w:r w:rsidRPr="000B756F">
        <w:t xml:space="preserve">2012. </w:t>
      </w:r>
      <w:r>
        <w:t>“</w:t>
      </w:r>
      <w:r w:rsidRPr="000B756F">
        <w:t xml:space="preserve">An </w:t>
      </w:r>
      <w:r>
        <w:t>E</w:t>
      </w:r>
      <w:r w:rsidRPr="000B756F">
        <w:t xml:space="preserve">pistemological </w:t>
      </w:r>
      <w:r>
        <w:t>G</w:t>
      </w:r>
      <w:r w:rsidRPr="000B756F">
        <w:t xml:space="preserve">lance at the </w:t>
      </w:r>
      <w:r>
        <w:t>C</w:t>
      </w:r>
      <w:r w:rsidRPr="000B756F">
        <w:t xml:space="preserve">onstructivist </w:t>
      </w:r>
      <w:r>
        <w:t>A</w:t>
      </w:r>
      <w:r w:rsidRPr="000B756F">
        <w:t xml:space="preserve">pproach: Constructivist </w:t>
      </w:r>
      <w:r>
        <w:t>L</w:t>
      </w:r>
      <w:r w:rsidRPr="000B756F">
        <w:t>earning in Dewey, Piaget, and Montessori.</w:t>
      </w:r>
      <w:r>
        <w:t>”</w:t>
      </w:r>
      <w:r w:rsidRPr="000B756F">
        <w:t xml:space="preserve"> </w:t>
      </w:r>
      <w:r w:rsidRPr="00DE7514">
        <w:rPr>
          <w:rStyle w:val="italics"/>
        </w:rPr>
        <w:t>International Journal of Instruction</w:t>
      </w:r>
      <w:r w:rsidRPr="000B756F">
        <w:t xml:space="preserve"> 5</w:t>
      </w:r>
      <w:r w:rsidR="006048C2">
        <w:t xml:space="preserve"> </w:t>
      </w:r>
      <w:r w:rsidRPr="000B756F">
        <w:t>(2)</w:t>
      </w:r>
      <w:r w:rsidR="006048C2">
        <w:t>:</w:t>
      </w:r>
      <w:r w:rsidRPr="000B756F">
        <w:t xml:space="preserve"> 195-212.</w:t>
      </w:r>
    </w:p>
    <w:p w14:paraId="5B2E15D2" w14:textId="77777777" w:rsidR="00EE7726" w:rsidRPr="00CE3C23" w:rsidRDefault="00EE7726" w:rsidP="00DE7514">
      <w:pPr>
        <w:pStyle w:val="ChapterReferences"/>
      </w:pPr>
      <w:r>
        <w:lastRenderedPageBreak/>
        <w:t xml:space="preserve">Vail, P.L. 1994. </w:t>
      </w:r>
      <w:r w:rsidRPr="00DE7514">
        <w:rPr>
          <w:rStyle w:val="italics"/>
        </w:rPr>
        <w:t>Emotion: The On/Off Switch of Learning.</w:t>
      </w:r>
      <w:r>
        <w:t xml:space="preserve"> Rosemont, NJ: Modern Learning Press.</w:t>
      </w:r>
    </w:p>
    <w:p w14:paraId="1207FBAC" w14:textId="118B36B8" w:rsidR="00EE7726" w:rsidRPr="000B756F" w:rsidRDefault="00EE7726" w:rsidP="00DE7514">
      <w:pPr>
        <w:pStyle w:val="ChapterReferences"/>
      </w:pPr>
      <w:r w:rsidRPr="000B756F">
        <w:t xml:space="preserve">Wesson, J. 2010. </w:t>
      </w:r>
      <w:r w:rsidR="006048C2">
        <w:t>“</w:t>
      </w:r>
      <w:r w:rsidRPr="000B756F">
        <w:t>Neuroplasticity.</w:t>
      </w:r>
      <w:r w:rsidR="006048C2">
        <w:t>”</w:t>
      </w:r>
      <w:r w:rsidRPr="000B756F">
        <w:t xml:space="preserve"> </w:t>
      </w:r>
      <w:hyperlink r:id="rId11" w:history="1">
        <w:r w:rsidR="006048C2" w:rsidRPr="00D06AC0">
          <w:rPr>
            <w:rStyle w:val="Hyperlink"/>
            <w:rFonts w:cs="Times New Roman"/>
          </w:rPr>
          <w:t>http://brainworldmagazine.com/neuroplasticity/</w:t>
        </w:r>
      </w:hyperlink>
      <w:r w:rsidR="006048C2">
        <w:t xml:space="preserve"> </w:t>
      </w:r>
    </w:p>
    <w:p w14:paraId="574EBBEA" w14:textId="7B6CEEC7" w:rsidR="00EE7726" w:rsidRPr="0087250D" w:rsidRDefault="00EE7726" w:rsidP="00DE7514">
      <w:pPr>
        <w:pStyle w:val="ChapterReferences"/>
        <w:rPr>
          <w:i/>
        </w:rPr>
      </w:pPr>
      <w:r>
        <w:t xml:space="preserve">Wick, C.W., R.V.H. Pollock, A. Jefferson, and R. Flanagan. 2006. </w:t>
      </w:r>
      <w:r w:rsidRPr="00DE7514">
        <w:rPr>
          <w:rStyle w:val="italics"/>
        </w:rPr>
        <w:t>The Six Disciplines of Breakthrough Learning: How to Turn Training and Development into Business Results,</w:t>
      </w:r>
      <w:r>
        <w:t xml:space="preserve"> 1st </w:t>
      </w:r>
      <w:r w:rsidR="006048C2">
        <w:t>ed</w:t>
      </w:r>
      <w:r>
        <w:t>. San Francisco: Pfeiffer.</w:t>
      </w:r>
    </w:p>
    <w:p w14:paraId="028BF653" w14:textId="240CB665" w:rsidR="00EE7726" w:rsidRPr="000B756F" w:rsidRDefault="00EE7726" w:rsidP="00DE7514">
      <w:pPr>
        <w:pStyle w:val="ChapterReferences"/>
      </w:pPr>
      <w:r w:rsidRPr="000B756F">
        <w:t xml:space="preserve">Wood, E.J. 1989. </w:t>
      </w:r>
      <w:r>
        <w:t>“</w:t>
      </w:r>
      <w:r w:rsidRPr="000B756F">
        <w:t xml:space="preserve">Making </w:t>
      </w:r>
      <w:r>
        <w:t>L</w:t>
      </w:r>
      <w:r w:rsidRPr="000B756F">
        <w:t xml:space="preserve">ectures </w:t>
      </w:r>
      <w:r>
        <w:t>M</w:t>
      </w:r>
      <w:r w:rsidRPr="000B756F">
        <w:t xml:space="preserve">ore </w:t>
      </w:r>
      <w:r>
        <w:t>E</w:t>
      </w:r>
      <w:r w:rsidRPr="000B756F">
        <w:t>xciting.</w:t>
      </w:r>
      <w:r>
        <w:t>”</w:t>
      </w:r>
      <w:r w:rsidRPr="000B756F">
        <w:t xml:space="preserve"> </w:t>
      </w:r>
      <w:r w:rsidRPr="00DE7514">
        <w:rPr>
          <w:rStyle w:val="italics"/>
        </w:rPr>
        <w:t>Biochemical Education</w:t>
      </w:r>
      <w:r w:rsidRPr="000B756F">
        <w:t xml:space="preserve"> 17</w:t>
      </w:r>
      <w:r w:rsidR="006048C2">
        <w:t xml:space="preserve"> </w:t>
      </w:r>
      <w:r w:rsidRPr="000B756F">
        <w:t>(1)</w:t>
      </w:r>
      <w:r w:rsidR="006048C2">
        <w:t>:</w:t>
      </w:r>
      <w:r w:rsidRPr="000B756F">
        <w:t xml:space="preserve"> 9-12.</w:t>
      </w:r>
    </w:p>
    <w:p w14:paraId="0BE3FBB6" w14:textId="471C5202" w:rsidR="00370BE0" w:rsidRDefault="00EE7726" w:rsidP="00DE7514">
      <w:pPr>
        <w:pStyle w:val="ChapterReferences"/>
      </w:pPr>
      <w:r w:rsidRPr="000B756F">
        <w:t xml:space="preserve">Zuckerman, M., </w:t>
      </w:r>
      <w:r>
        <w:t xml:space="preserve">J. </w:t>
      </w:r>
      <w:r w:rsidRPr="000B756F">
        <w:t xml:space="preserve">Porac, </w:t>
      </w:r>
      <w:r>
        <w:t>D.</w:t>
      </w:r>
      <w:r w:rsidRPr="000B756F">
        <w:t xml:space="preserve"> Lathin, </w:t>
      </w:r>
      <w:r>
        <w:t xml:space="preserve">R. </w:t>
      </w:r>
      <w:r w:rsidRPr="000B756F">
        <w:t xml:space="preserve">Smith, </w:t>
      </w:r>
      <w:r>
        <w:t>and</w:t>
      </w:r>
      <w:r w:rsidRPr="000B756F">
        <w:t xml:space="preserve"> </w:t>
      </w:r>
      <w:r>
        <w:t xml:space="preserve">E.L. </w:t>
      </w:r>
      <w:r w:rsidRPr="000B756F">
        <w:t xml:space="preserve">Deci, 1978. On the </w:t>
      </w:r>
      <w:r>
        <w:t>I</w:t>
      </w:r>
      <w:r w:rsidRPr="000B756F">
        <w:t xml:space="preserve">mportance of </w:t>
      </w:r>
      <w:r>
        <w:t>S</w:t>
      </w:r>
      <w:r w:rsidRPr="000B756F">
        <w:t xml:space="preserve">elf-determination for </w:t>
      </w:r>
      <w:r>
        <w:t>I</w:t>
      </w:r>
      <w:r w:rsidRPr="000B756F">
        <w:t xml:space="preserve">ntrinsically </w:t>
      </w:r>
      <w:r>
        <w:t>M</w:t>
      </w:r>
      <w:r w:rsidRPr="000B756F">
        <w:t xml:space="preserve">otivated </w:t>
      </w:r>
      <w:r>
        <w:t>B</w:t>
      </w:r>
      <w:r w:rsidRPr="000B756F">
        <w:t>ehaviour.</w:t>
      </w:r>
      <w:r>
        <w:t>”</w:t>
      </w:r>
      <w:r w:rsidRPr="000B756F">
        <w:t xml:space="preserve"> </w:t>
      </w:r>
      <w:r w:rsidRPr="00DE7514">
        <w:rPr>
          <w:rStyle w:val="italics"/>
        </w:rPr>
        <w:t>Personality and Social Psychology Bulletin</w:t>
      </w:r>
      <w:r w:rsidRPr="000B756F">
        <w:t xml:space="preserve"> 4</w:t>
      </w:r>
      <w:r w:rsidR="006048C2">
        <w:t>:</w:t>
      </w:r>
      <w:r w:rsidRPr="000B756F">
        <w:t xml:space="preserve"> 443</w:t>
      </w:r>
      <w:r w:rsidR="006048C2">
        <w:t>-</w:t>
      </w:r>
      <w:r w:rsidRPr="000B756F">
        <w:t>446.</w:t>
      </w:r>
    </w:p>
    <w:sectPr w:rsidR="00370BE0" w:rsidSect="0042103B">
      <w:headerReference w:type="even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4938C" w14:textId="77777777" w:rsidR="003061B7" w:rsidRDefault="003061B7">
      <w:r>
        <w:separator/>
      </w:r>
    </w:p>
  </w:endnote>
  <w:endnote w:type="continuationSeparator" w:id="0">
    <w:p w14:paraId="3ABAA2B4" w14:textId="77777777" w:rsidR="003061B7" w:rsidRDefault="0030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Casl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Akzidenz Grotesk BE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kzidenzGroteskBE-It">
    <w:altName w:val="Akzidenz Grotesk B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95662" w14:textId="77777777" w:rsidR="003061B7" w:rsidRDefault="003061B7">
      <w:r>
        <w:separator/>
      </w:r>
    </w:p>
  </w:footnote>
  <w:footnote w:type="continuationSeparator" w:id="0">
    <w:p w14:paraId="3618B6D9" w14:textId="77777777" w:rsidR="003061B7" w:rsidRDefault="00306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2D0E" w14:textId="77777777" w:rsidR="007C4374" w:rsidRDefault="00F31803" w:rsidP="0042103B">
    <w:pPr>
      <w:pStyle w:val="Header"/>
    </w:pPr>
    <w:r w:rsidRPr="00E50A68">
      <w:fldChar w:fldCharType="begin"/>
    </w:r>
    <w:r w:rsidRPr="00E50A68">
      <w:instrText xml:space="preserve"> PAGE   \* MERGEFORMAT </w:instrText>
    </w:r>
    <w:r w:rsidRPr="00E50A68">
      <w:fldChar w:fldCharType="separate"/>
    </w:r>
    <w:r>
      <w:rPr>
        <w:noProof/>
      </w:rPr>
      <w:t>2</w:t>
    </w:r>
    <w:r w:rsidRPr="00E50A6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726"/>
    <w:rsid w:val="00152DE0"/>
    <w:rsid w:val="003061B7"/>
    <w:rsid w:val="004279E3"/>
    <w:rsid w:val="004320A9"/>
    <w:rsid w:val="00486721"/>
    <w:rsid w:val="006048C2"/>
    <w:rsid w:val="00631DC3"/>
    <w:rsid w:val="00AA1D55"/>
    <w:rsid w:val="00DE7514"/>
    <w:rsid w:val="00DF018F"/>
    <w:rsid w:val="00DF0B78"/>
    <w:rsid w:val="00EE7726"/>
    <w:rsid w:val="00F3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163A"/>
  <w15:chartTrackingRefBased/>
  <w15:docId w15:val="{69512F87-08A8-404C-95AB-3B638317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721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EE7726"/>
    <w:pPr>
      <w:keepNext/>
      <w:keepLines/>
      <w:spacing w:before="840" w:after="720" w:line="240" w:lineRule="auto"/>
      <w:outlineLvl w:val="0"/>
    </w:pPr>
    <w:rPr>
      <w:rFonts w:eastAsiaTheme="majorEastAsia" w:cstheme="majorBidi"/>
      <w:b/>
      <w:caps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26"/>
    <w:rPr>
      <w:rFonts w:eastAsiaTheme="majorEastAsia" w:cstheme="majorBidi"/>
      <w:b/>
      <w:caps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EE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726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E7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77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7726"/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7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26"/>
    <w:rPr>
      <w:rFonts w:ascii="Segoe UI" w:hAnsi="Segoe UI" w:cs="Segoe UI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DE751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1stparagraph">
    <w:name w:val="1st paragraph"/>
    <w:basedOn w:val="Normal"/>
    <w:uiPriority w:val="99"/>
    <w:rsid w:val="00DE7514"/>
    <w:pPr>
      <w:widowControl w:val="0"/>
      <w:autoSpaceDE w:val="0"/>
      <w:autoSpaceDN w:val="0"/>
      <w:adjustRightInd w:val="0"/>
      <w:spacing w:line="30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body">
    <w:name w:val="body"/>
    <w:basedOn w:val="Normal"/>
    <w:uiPriority w:val="99"/>
    <w:rsid w:val="00DE7514"/>
    <w:pPr>
      <w:widowControl w:val="0"/>
      <w:autoSpaceDE w:val="0"/>
      <w:autoSpaceDN w:val="0"/>
      <w:adjustRightInd w:val="0"/>
      <w:spacing w:line="300" w:lineRule="atLeast"/>
      <w:ind w:firstLine="360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customStyle="1" w:styleId="IntroQuote">
    <w:name w:val="Intro Quote"/>
    <w:basedOn w:val="body"/>
    <w:uiPriority w:val="99"/>
    <w:rsid w:val="00DE7514"/>
    <w:pPr>
      <w:spacing w:after="180" w:line="320" w:lineRule="atLeast"/>
      <w:ind w:right="270" w:firstLine="0"/>
      <w:jc w:val="right"/>
    </w:pPr>
    <w:rPr>
      <w:rFonts w:ascii="AkzidenzGroteskBE-Regular" w:hAnsi="AkzidenzGroteskBE-Regular" w:cs="AkzidenzGroteskBE-Regular"/>
      <w:color w:val="323232"/>
      <w:sz w:val="23"/>
      <w:szCs w:val="23"/>
    </w:rPr>
  </w:style>
  <w:style w:type="paragraph" w:customStyle="1" w:styleId="H3">
    <w:name w:val="H3"/>
    <w:basedOn w:val="IntroQuote"/>
    <w:uiPriority w:val="99"/>
    <w:rsid w:val="00DE7514"/>
    <w:pPr>
      <w:suppressAutoHyphens/>
      <w:spacing w:before="223" w:after="0"/>
      <w:jc w:val="left"/>
    </w:pPr>
    <w:rPr>
      <w:rFonts w:ascii="AkzidenzGroteskBE-Light" w:hAnsi="AkzidenzGroteskBE-Light" w:cs="AkzidenzGroteskBE-Light"/>
      <w:color w:val="000000"/>
      <w:spacing w:val="1"/>
      <w:sz w:val="28"/>
      <w:szCs w:val="28"/>
    </w:rPr>
  </w:style>
  <w:style w:type="paragraph" w:customStyle="1" w:styleId="ahead-index">
    <w:name w:val="ahead- index"/>
    <w:basedOn w:val="H3"/>
    <w:uiPriority w:val="99"/>
    <w:rsid w:val="00DE7514"/>
    <w:pPr>
      <w:spacing w:before="180" w:after="47"/>
    </w:pPr>
    <w:rPr>
      <w:rFonts w:ascii="AkzidenzGroteskBE-Md" w:hAnsi="AkzidenzGroteskBE-Md" w:cs="AkzidenzGroteskBE-Md"/>
      <w:sz w:val="26"/>
      <w:szCs w:val="26"/>
    </w:rPr>
  </w:style>
  <w:style w:type="character" w:customStyle="1" w:styleId="bold">
    <w:name w:val="bold"/>
    <w:uiPriority w:val="99"/>
    <w:rsid w:val="00DE7514"/>
    <w:rPr>
      <w:b/>
      <w:bCs/>
    </w:rPr>
  </w:style>
  <w:style w:type="paragraph" w:customStyle="1" w:styleId="Bullet2ndLevel">
    <w:name w:val="Bullet 2nd Level"/>
    <w:basedOn w:val="body"/>
    <w:uiPriority w:val="99"/>
    <w:rsid w:val="00DE7514"/>
    <w:pPr>
      <w:tabs>
        <w:tab w:val="left" w:pos="0"/>
      </w:tabs>
      <w:suppressAutoHyphens/>
      <w:ind w:left="1170" w:hanging="270"/>
      <w:jc w:val="left"/>
    </w:pPr>
  </w:style>
  <w:style w:type="paragraph" w:customStyle="1" w:styleId="BulletList">
    <w:name w:val="Bullet List"/>
    <w:basedOn w:val="body"/>
    <w:uiPriority w:val="99"/>
    <w:rsid w:val="00DE7514"/>
    <w:pPr>
      <w:tabs>
        <w:tab w:val="left" w:pos="0"/>
      </w:tabs>
      <w:suppressAutoHyphens/>
      <w:ind w:left="864" w:hanging="270"/>
      <w:jc w:val="left"/>
    </w:pPr>
  </w:style>
  <w:style w:type="paragraph" w:customStyle="1" w:styleId="CalloutSidebarBody">
    <w:name w:val="Callout/Sidebar Body"/>
    <w:basedOn w:val="body"/>
    <w:uiPriority w:val="99"/>
    <w:rsid w:val="00DE7514"/>
    <w:pPr>
      <w:suppressAutoHyphens/>
      <w:spacing w:line="270" w:lineRule="atLeast"/>
      <w:ind w:firstLine="0"/>
      <w:jc w:val="left"/>
    </w:pPr>
    <w:rPr>
      <w:rFonts w:ascii="AkzidenzGroteskBE-Light" w:hAnsi="AkzidenzGroteskBE-Light" w:cs="AkzidenzGroteskBE-Light"/>
      <w:sz w:val="20"/>
      <w:szCs w:val="20"/>
    </w:rPr>
  </w:style>
  <w:style w:type="paragraph" w:customStyle="1" w:styleId="CalloutSidebarBullets">
    <w:name w:val="Callout/Sidebar Bullets"/>
    <w:basedOn w:val="body"/>
    <w:uiPriority w:val="99"/>
    <w:rsid w:val="00DE7514"/>
    <w:pPr>
      <w:suppressAutoHyphens/>
      <w:spacing w:line="320" w:lineRule="atLeast"/>
      <w:ind w:left="480" w:hanging="180"/>
      <w:jc w:val="left"/>
    </w:pPr>
    <w:rPr>
      <w:rFonts w:ascii="AkzidenzGroteskBE-Light" w:hAnsi="AkzidenzGroteskBE-Light" w:cs="AkzidenzGroteskBE-Light"/>
      <w:sz w:val="20"/>
      <w:szCs w:val="20"/>
    </w:rPr>
  </w:style>
  <w:style w:type="paragraph" w:customStyle="1" w:styleId="CHTitle">
    <w:name w:val="CH Title"/>
    <w:basedOn w:val="Normal"/>
    <w:uiPriority w:val="99"/>
    <w:rsid w:val="00DE7514"/>
    <w:pPr>
      <w:widowControl w:val="0"/>
      <w:suppressAutoHyphens/>
      <w:autoSpaceDE w:val="0"/>
      <w:autoSpaceDN w:val="0"/>
      <w:adjustRightInd w:val="0"/>
      <w:spacing w:after="1080" w:line="800" w:lineRule="atLeast"/>
      <w:textAlignment w:val="center"/>
    </w:pPr>
    <w:rPr>
      <w:rFonts w:ascii="AkzidenzGroteskBE-Md" w:hAnsi="AkzidenzGroteskBE-Md" w:cs="AkzidenzGroteskBE-Md"/>
      <w:color w:val="000000"/>
      <w:sz w:val="66"/>
      <w:szCs w:val="66"/>
    </w:rPr>
  </w:style>
  <w:style w:type="paragraph" w:customStyle="1" w:styleId="ChNum">
    <w:name w:val="Ch Num"/>
    <w:basedOn w:val="CHTitle"/>
    <w:uiPriority w:val="99"/>
    <w:rsid w:val="00DE7514"/>
    <w:pPr>
      <w:pBdr>
        <w:bottom w:val="single" w:sz="8" w:space="9" w:color="000000"/>
      </w:pBdr>
      <w:spacing w:after="270"/>
    </w:pPr>
    <w:rPr>
      <w:w w:val="103"/>
      <w:sz w:val="32"/>
      <w:szCs w:val="32"/>
    </w:rPr>
  </w:style>
  <w:style w:type="paragraph" w:customStyle="1" w:styleId="ChapterReferences">
    <w:name w:val="Chapter References"/>
    <w:basedOn w:val="Normal"/>
    <w:uiPriority w:val="99"/>
    <w:rsid w:val="00DE7514"/>
    <w:pPr>
      <w:widowControl w:val="0"/>
      <w:suppressAutoHyphens/>
      <w:autoSpaceDE w:val="0"/>
      <w:autoSpaceDN w:val="0"/>
      <w:adjustRightInd w:val="0"/>
      <w:spacing w:before="90" w:line="320" w:lineRule="atLeast"/>
      <w:ind w:left="440" w:right="270" w:hanging="440"/>
      <w:textAlignment w:val="center"/>
    </w:pPr>
    <w:rPr>
      <w:rFonts w:ascii="ACaslonPro-Regular" w:hAnsi="ACaslonPro-Regular" w:cs="ACaslonPro-Regular"/>
      <w:color w:val="000000"/>
      <w:sz w:val="21"/>
      <w:szCs w:val="21"/>
    </w:rPr>
  </w:style>
  <w:style w:type="paragraph" w:customStyle="1" w:styleId="Ext">
    <w:name w:val="Ext"/>
    <w:basedOn w:val="body"/>
    <w:uiPriority w:val="99"/>
    <w:rsid w:val="00DE7514"/>
    <w:pPr>
      <w:suppressAutoHyphens/>
      <w:spacing w:before="180" w:after="90" w:line="280" w:lineRule="atLeast"/>
      <w:ind w:left="720" w:right="720" w:firstLine="0"/>
      <w:jc w:val="left"/>
    </w:pPr>
    <w:rPr>
      <w:sz w:val="20"/>
      <w:szCs w:val="20"/>
    </w:rPr>
  </w:style>
  <w:style w:type="paragraph" w:customStyle="1" w:styleId="H1">
    <w:name w:val="H1"/>
    <w:basedOn w:val="Normal"/>
    <w:uiPriority w:val="99"/>
    <w:rsid w:val="00DE7514"/>
    <w:pPr>
      <w:widowControl w:val="0"/>
      <w:suppressAutoHyphens/>
      <w:autoSpaceDE w:val="0"/>
      <w:autoSpaceDN w:val="0"/>
      <w:adjustRightInd w:val="0"/>
      <w:spacing w:before="270" w:line="440" w:lineRule="atLeast"/>
      <w:textAlignment w:val="center"/>
    </w:pPr>
    <w:rPr>
      <w:rFonts w:ascii="AkzidenzGroteskBE-Bold" w:hAnsi="AkzidenzGroteskBE-Bold" w:cs="AkzidenzGroteskBE-Bold"/>
      <w:b/>
      <w:bCs/>
      <w:color w:val="323232"/>
      <w:sz w:val="38"/>
      <w:szCs w:val="38"/>
    </w:rPr>
  </w:style>
  <w:style w:type="paragraph" w:customStyle="1" w:styleId="H1Opener">
    <w:name w:val="H1 Opener"/>
    <w:basedOn w:val="Normal"/>
    <w:uiPriority w:val="99"/>
    <w:rsid w:val="00DE7514"/>
    <w:pPr>
      <w:widowControl w:val="0"/>
      <w:suppressAutoHyphens/>
      <w:autoSpaceDE w:val="0"/>
      <w:autoSpaceDN w:val="0"/>
      <w:adjustRightInd w:val="0"/>
      <w:spacing w:before="1170" w:line="400" w:lineRule="atLeast"/>
      <w:textAlignment w:val="center"/>
    </w:pPr>
    <w:rPr>
      <w:rFonts w:ascii="AkzidenzGroteskBE-Bold" w:hAnsi="AkzidenzGroteskBE-Bold" w:cs="AkzidenzGroteskBE-Bold"/>
      <w:b/>
      <w:bCs/>
      <w:color w:val="323232"/>
      <w:sz w:val="38"/>
      <w:szCs w:val="38"/>
    </w:rPr>
  </w:style>
  <w:style w:type="paragraph" w:customStyle="1" w:styleId="H2">
    <w:name w:val="H2"/>
    <w:basedOn w:val="body"/>
    <w:uiPriority w:val="99"/>
    <w:rsid w:val="00DE7514"/>
    <w:pPr>
      <w:suppressAutoHyphens/>
      <w:spacing w:before="270" w:line="340" w:lineRule="atLeast"/>
      <w:ind w:firstLine="0"/>
      <w:jc w:val="left"/>
    </w:pPr>
    <w:rPr>
      <w:rFonts w:ascii="AkzidenzGroteskBE-Regular" w:hAnsi="AkzidenzGroteskBE-Regular" w:cs="AkzidenzGroteskBE-Regular"/>
      <w:sz w:val="34"/>
      <w:szCs w:val="34"/>
    </w:rPr>
  </w:style>
  <w:style w:type="paragraph" w:customStyle="1" w:styleId="TableReference">
    <w:name w:val="Table Reference"/>
    <w:basedOn w:val="IntroQuote"/>
    <w:uiPriority w:val="99"/>
    <w:rsid w:val="00DE7514"/>
    <w:pPr>
      <w:spacing w:before="90" w:after="90" w:line="260" w:lineRule="atLeast"/>
      <w:ind w:left="360" w:hanging="360"/>
      <w:jc w:val="left"/>
    </w:pPr>
    <w:rPr>
      <w:rFonts w:ascii="AkzidenzGroteskBE-Light" w:hAnsi="AkzidenzGroteskBE-Light" w:cs="AkzidenzGroteskBE-Light"/>
      <w:color w:val="000000"/>
      <w:sz w:val="17"/>
      <w:szCs w:val="17"/>
    </w:rPr>
  </w:style>
  <w:style w:type="paragraph" w:customStyle="1" w:styleId="index-main">
    <w:name w:val="index-main"/>
    <w:basedOn w:val="TableReference"/>
    <w:uiPriority w:val="99"/>
    <w:rsid w:val="00DE7514"/>
    <w:pPr>
      <w:spacing w:before="0" w:after="0" w:line="220" w:lineRule="atLeast"/>
    </w:pPr>
    <w:rPr>
      <w:rFonts w:ascii="ACaslonPro-Regular" w:hAnsi="ACaslonPro-Regular" w:cs="ACaslonPro-Regular"/>
    </w:rPr>
  </w:style>
  <w:style w:type="paragraph" w:customStyle="1" w:styleId="index-sub1">
    <w:name w:val="index-sub1"/>
    <w:basedOn w:val="index-main"/>
    <w:uiPriority w:val="99"/>
    <w:rsid w:val="00DE7514"/>
    <w:pPr>
      <w:ind w:left="540" w:hanging="270"/>
    </w:pPr>
  </w:style>
  <w:style w:type="paragraph" w:customStyle="1" w:styleId="IntroQuoteName">
    <w:name w:val="Intro Quote Name"/>
    <w:basedOn w:val="body"/>
    <w:uiPriority w:val="99"/>
    <w:rsid w:val="00DE7514"/>
    <w:pPr>
      <w:spacing w:line="340" w:lineRule="atLeast"/>
      <w:ind w:right="270" w:firstLine="0"/>
      <w:jc w:val="right"/>
    </w:pPr>
    <w:rPr>
      <w:rFonts w:ascii="AkzidenzGroteskBE-It" w:hAnsi="AkzidenzGroteskBE-It" w:cs="AkzidenzGroteskBE-It"/>
      <w:i/>
      <w:iCs/>
      <w:color w:val="323232"/>
      <w:sz w:val="21"/>
      <w:szCs w:val="21"/>
    </w:rPr>
  </w:style>
  <w:style w:type="character" w:customStyle="1" w:styleId="italics">
    <w:name w:val="italics"/>
    <w:uiPriority w:val="99"/>
    <w:rsid w:val="00DE7514"/>
    <w:rPr>
      <w:i/>
      <w:iCs/>
    </w:rPr>
  </w:style>
  <w:style w:type="paragraph" w:customStyle="1" w:styleId="NumList">
    <w:name w:val="Num List"/>
    <w:basedOn w:val="body"/>
    <w:uiPriority w:val="99"/>
    <w:rsid w:val="00DE7514"/>
    <w:pPr>
      <w:tabs>
        <w:tab w:val="left" w:pos="0"/>
      </w:tabs>
      <w:suppressAutoHyphens/>
      <w:spacing w:line="310" w:lineRule="atLeast"/>
      <w:ind w:left="900" w:hanging="180"/>
      <w:jc w:val="left"/>
    </w:pPr>
  </w:style>
  <w:style w:type="paragraph" w:customStyle="1" w:styleId="SectionQuotes">
    <w:name w:val="Section Quotes"/>
    <w:basedOn w:val="body"/>
    <w:uiPriority w:val="99"/>
    <w:rsid w:val="00DE7514"/>
    <w:pPr>
      <w:suppressAutoHyphens/>
      <w:spacing w:before="90" w:after="180" w:line="280" w:lineRule="atLeast"/>
      <w:ind w:left="2160" w:firstLine="0"/>
      <w:jc w:val="right"/>
    </w:pPr>
    <w:rPr>
      <w:spacing w:val="1"/>
      <w:sz w:val="20"/>
      <w:szCs w:val="20"/>
    </w:rPr>
  </w:style>
  <w:style w:type="paragraph" w:customStyle="1" w:styleId="TableBody">
    <w:name w:val="Table Body"/>
    <w:basedOn w:val="body"/>
    <w:uiPriority w:val="99"/>
    <w:rsid w:val="00DE7514"/>
    <w:pPr>
      <w:suppressAutoHyphens/>
      <w:spacing w:line="250" w:lineRule="atLeast"/>
      <w:ind w:firstLine="0"/>
      <w:jc w:val="left"/>
    </w:pPr>
    <w:rPr>
      <w:rFonts w:ascii="AkzidenzGroteskBE-Light" w:hAnsi="AkzidenzGroteskBE-Light" w:cs="AkzidenzGroteskBE-Light"/>
      <w:sz w:val="18"/>
      <w:szCs w:val="18"/>
    </w:rPr>
  </w:style>
  <w:style w:type="paragraph" w:customStyle="1" w:styleId="TableBulletSquares">
    <w:name w:val="Table Bullet Squares"/>
    <w:basedOn w:val="body"/>
    <w:uiPriority w:val="99"/>
    <w:rsid w:val="00DE7514"/>
    <w:pPr>
      <w:tabs>
        <w:tab w:val="left" w:pos="0"/>
      </w:tabs>
      <w:suppressAutoHyphens/>
      <w:spacing w:line="250" w:lineRule="atLeast"/>
      <w:ind w:left="720" w:hanging="440"/>
      <w:jc w:val="left"/>
    </w:pPr>
    <w:rPr>
      <w:rFonts w:ascii="AkzidenzGroteskBE-Regular" w:hAnsi="AkzidenzGroteskBE-Regular" w:cs="AkzidenzGroteskBE-Regular"/>
      <w:sz w:val="18"/>
      <w:szCs w:val="18"/>
    </w:rPr>
  </w:style>
  <w:style w:type="paragraph" w:customStyle="1" w:styleId="TableBullets">
    <w:name w:val="Table Bullets"/>
    <w:basedOn w:val="body"/>
    <w:uiPriority w:val="99"/>
    <w:rsid w:val="00DE7514"/>
    <w:pPr>
      <w:tabs>
        <w:tab w:val="left" w:pos="0"/>
      </w:tabs>
      <w:suppressAutoHyphens/>
      <w:spacing w:line="250" w:lineRule="atLeast"/>
      <w:ind w:left="200" w:hanging="180"/>
      <w:jc w:val="left"/>
    </w:pPr>
    <w:rPr>
      <w:rFonts w:ascii="AkzidenzGroteskBE-Light" w:hAnsi="AkzidenzGroteskBE-Light" w:cs="AkzidenzGroteskBE-Light"/>
      <w:sz w:val="18"/>
      <w:szCs w:val="18"/>
    </w:rPr>
  </w:style>
  <w:style w:type="paragraph" w:customStyle="1" w:styleId="TableNumbers">
    <w:name w:val="Table Numbers"/>
    <w:basedOn w:val="Normal"/>
    <w:uiPriority w:val="99"/>
    <w:rsid w:val="00DE7514"/>
    <w:pPr>
      <w:widowControl w:val="0"/>
      <w:tabs>
        <w:tab w:val="left" w:pos="0"/>
      </w:tabs>
      <w:suppressAutoHyphens/>
      <w:autoSpaceDE w:val="0"/>
      <w:autoSpaceDN w:val="0"/>
      <w:adjustRightInd w:val="0"/>
      <w:spacing w:line="250" w:lineRule="atLeast"/>
      <w:ind w:left="720" w:hanging="440"/>
      <w:textAlignment w:val="center"/>
    </w:pPr>
    <w:rPr>
      <w:rFonts w:ascii="AkzidenzGroteskBE-Light" w:hAnsi="AkzidenzGroteskBE-Light" w:cs="AkzidenzGroteskBE-Light"/>
      <w:color w:val="000000"/>
      <w:sz w:val="18"/>
      <w:szCs w:val="18"/>
    </w:rPr>
  </w:style>
  <w:style w:type="paragraph" w:customStyle="1" w:styleId="TableFigureTitle">
    <w:name w:val="Table/Figure Title"/>
    <w:basedOn w:val="body"/>
    <w:uiPriority w:val="99"/>
    <w:rsid w:val="00DE7514"/>
    <w:pPr>
      <w:pBdr>
        <w:bottom w:val="single" w:sz="2" w:space="4" w:color="323232"/>
      </w:pBdr>
      <w:spacing w:before="270" w:after="180" w:line="240" w:lineRule="atLeast"/>
      <w:ind w:firstLine="0"/>
      <w:jc w:val="left"/>
    </w:pPr>
    <w:rPr>
      <w:rFonts w:ascii="AkzidenzGroteskBE-Light" w:hAnsi="AkzidenzGroteskBE-Light" w:cs="AkzidenzGroteskBE-Light"/>
      <w:sz w:val="23"/>
      <w:szCs w:val="23"/>
    </w:rPr>
  </w:style>
  <w:style w:type="paragraph" w:customStyle="1" w:styleId="toc">
    <w:name w:val="toc"/>
    <w:basedOn w:val="IntroQuote"/>
    <w:uiPriority w:val="99"/>
    <w:rsid w:val="00DE7514"/>
    <w:pPr>
      <w:tabs>
        <w:tab w:val="left" w:pos="380"/>
        <w:tab w:val="left" w:pos="640"/>
        <w:tab w:val="right" w:leader="dot" w:pos="6660"/>
      </w:tabs>
      <w:ind w:right="10"/>
    </w:pPr>
    <w:rPr>
      <w:rFonts w:ascii="ACaslonPro-Regular" w:hAnsi="ACaslonPro-Regular" w:cs="ACaslonPro-Regular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l.org/articles/the-connections-between-emotions-and-learnin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tworkcomputing.com/networking/why-your-business-cant-ignore-social-networking/1104790041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orml.com/the-informal-learning-page/" TargetMode="External"/><Relationship Id="rId11" Type="http://schemas.openxmlformats.org/officeDocument/2006/relationships/hyperlink" Target="http://brainworldmagazine.com/neuroplasticity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geoffpetty.com/for-teachers/active-learnin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loomberg.com/news/articles/2006-03-30/great-employees-make-a-great-busin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887</Words>
  <Characters>5056</Characters>
  <Application>Microsoft Office Word</Application>
  <DocSecurity>0</DocSecurity>
  <Lines>42</Lines>
  <Paragraphs>11</Paragraphs>
  <ScaleCrop>false</ScaleCrop>
  <Company>Microsoft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Harlow</dc:creator>
  <cp:keywords/>
  <dc:description/>
  <cp:lastModifiedBy>Donald Smith</cp:lastModifiedBy>
  <cp:revision>5</cp:revision>
  <dcterms:created xsi:type="dcterms:W3CDTF">2016-07-18T13:18:00Z</dcterms:created>
  <dcterms:modified xsi:type="dcterms:W3CDTF">2017-12-14T04:55:00Z</dcterms:modified>
</cp:coreProperties>
</file>