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Proyecto Formativo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ADSI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SEBASTIAN GARRO PÉREZ - SANDRA MILENA TORO TEJADA - FRANCISCO MARTINEZ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Determinación de las tecnologías de hardware, software y servicios requeridos para el proyecto en desarrollo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A.R.A.I. 1.0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 Recibe Atiende e Integra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EVIDENCIA.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base en los distintos escenarios de computación y de las tendencias actuales del mercado, se debe determinar las tecnologías a nivel de hardware, software y servicios que le permitirán apoyar el proceso de selección de tecnologías TIC para su empresa o proyecto.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acuerdo a los requerimientos funcionales y no funcionales del proyecto y apoyado en el informe de necesidades realizado en la Actividad de Proyecto 1 y el objeto de aprendizaje “OA. Caracterización de tecnologías de la información y comunicación” de esta actividad de proyecto realice el levantamiento de información para diligenciar la siguiente tabla.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primera fila se muestra un ejemplo. Identifique por lo menos cinco ítems adicionales.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 QUE DEBE CONTENER LA EVIDENCIA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diligenciado que Determine las tecnologías de hardware, software y servicios requeridos para el proyecto en desarrollo, el cual debe contener las siguientes partes: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Ítem: número consecutivo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 (hardware-software-comunicación): Especifique el tipo de componente.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Objeto: Especifique el tipo de objeto según el tipo de componente de la columna B.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Tecnología (On-Premise, Virtualización, Nube, Móvil): Especifique si el componente va a estar físicamente en la empresa o como un servicio en la nube.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 de Adquisición (propio-arriendo): Especifique si el componente va a ser adquirido por la empresa (propio) o es arrendado. Esta columna debe ser coherente con el ítem seleccionado de la columna D, es decir, por ejemplo: si la tecnología es en la nube, se debe de seleccionar en la columna E el ítem arriendo.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 de servicios a proveer: En esta columna se debe de especificar el (los) tipo(s) de servicio a proveer por el objeto en mención.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88" w:lineRule="auto"/>
        <w:jc w:val="both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1.3156146179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9.3720930232558"/>
        <w:gridCol w:w="1320"/>
        <w:gridCol w:w="2310"/>
        <w:gridCol w:w="1350"/>
        <w:gridCol w:w="1170"/>
        <w:gridCol w:w="1981.9435215946846"/>
        <w:tblGridChange w:id="0">
          <w:tblGrid>
            <w:gridCol w:w="719.3720930232558"/>
            <w:gridCol w:w="1320"/>
            <w:gridCol w:w="2310"/>
            <w:gridCol w:w="1350"/>
            <w:gridCol w:w="1170"/>
            <w:gridCol w:w="1981.94352159468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88" w:lineRule="auto"/>
              <w:jc w:val="both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88" w:lineRule="auto"/>
              <w:jc w:val="both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Tipo de componente (hardware-software-comunicación).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88" w:lineRule="auto"/>
              <w:jc w:val="both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Objeto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88" w:lineRule="auto"/>
              <w:jc w:val="both"/>
              <w:rPr>
                <w:b w:val="1"/>
                <w:color w:val="00000a"/>
                <w:sz w:val="10"/>
                <w:szCs w:val="10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Tecnología </w:t>
            </w:r>
            <w:r w:rsidDel="00000000" w:rsidR="00000000" w:rsidRPr="00000000">
              <w:rPr>
                <w:b w:val="1"/>
                <w:color w:val="00000a"/>
                <w:sz w:val="10"/>
                <w:szCs w:val="10"/>
                <w:rtl w:val="0"/>
              </w:rPr>
              <w:t xml:space="preserve">(On-Premise, Virtualización, Nube, Móvil)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88.00000000000006" w:lineRule="auto"/>
              <w:jc w:val="both"/>
              <w:rPr>
                <w:b w:val="1"/>
                <w:color w:val="00000a"/>
                <w:sz w:val="10"/>
                <w:szCs w:val="10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Tipo de Adquisición</w:t>
              <w:br w:type="textWrapping"/>
            </w:r>
            <w:r w:rsidDel="00000000" w:rsidR="00000000" w:rsidRPr="00000000">
              <w:rPr>
                <w:b w:val="1"/>
                <w:color w:val="00000a"/>
                <w:sz w:val="10"/>
                <w:szCs w:val="10"/>
                <w:rtl w:val="0"/>
              </w:rPr>
              <w:t xml:space="preserve">(propio-arriendo)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88" w:lineRule="auto"/>
              <w:jc w:val="both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Tipos de servicios a proveer</w:t>
            </w:r>
          </w:p>
        </w:tc>
      </w:tr>
      <w:tr>
        <w:trPr>
          <w:cantSplit w:val="0"/>
          <w:trHeight w:val="1087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Servidor para las aplicaciones</w:t>
              <w:br w:type="textWrapping"/>
            </w:r>
            <w:r w:rsidDel="00000000" w:rsidR="00000000" w:rsidRPr="00000000">
              <w:rPr>
                <w:color w:val="00000a"/>
                <w:sz w:val="14"/>
                <w:szCs w:val="14"/>
                <w:rtl w:val="0"/>
              </w:rPr>
              <w:t xml:space="preserve">Servidor SuperMicro a512 Intel Atom 8 Gb RAM 120gb SSD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Equipo físico para la puesta en funcionamiento de las aplicaciones y bases de datos.</w:t>
            </w:r>
          </w:p>
        </w:tc>
      </w:tr>
      <w:tr>
        <w:trPr>
          <w:cantSplit w:val="0"/>
          <w:trHeight w:val="622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Estación de trabajo</w:t>
              <w:br w:type="textWrapping"/>
            </w:r>
            <w:r w:rsidDel="00000000" w:rsidR="00000000" w:rsidRPr="00000000">
              <w:rPr>
                <w:color w:val="00000a"/>
                <w:sz w:val="14"/>
                <w:szCs w:val="14"/>
                <w:rtl w:val="0"/>
              </w:rPr>
              <w:t xml:space="preserve">PC mínimo Intel Celeron 4GB de RAM, Windows 10 o superior.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Equipo físico para la interacción cliente servidor.</w:t>
            </w:r>
          </w:p>
        </w:tc>
      </w:tr>
      <w:tr>
        <w:trPr>
          <w:cantSplit w:val="0"/>
          <w:trHeight w:val="652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Microsoft Windows Server Free Educational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 On- 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Sistema Operativo para servidores donde se ejecutará la aplicación.</w:t>
            </w:r>
          </w:p>
        </w:tc>
      </w:tr>
      <w:tr>
        <w:trPr>
          <w:cantSplit w:val="0"/>
          <w:trHeight w:val="1297.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MySql</w:t>
              <w:br w:type="textWrapping"/>
            </w:r>
            <w:r w:rsidDel="00000000" w:rsidR="00000000" w:rsidRPr="00000000">
              <w:rPr>
                <w:color w:val="00000a"/>
                <w:sz w:val="14"/>
                <w:szCs w:val="14"/>
                <w:rtl w:val="0"/>
              </w:rPr>
              <w:t xml:space="preserve">es un sistema de gestión de bases de datos relacional desarrollado bajo licencia dual: Licencia pública general/Licencia comercial por Oracle Corporation y está considerada como la base de datos de código abierto más popular del mundo,1​2​ y una de las más populares en general junto a Oracle y Microsoft SQL Server, todo para entornos de desarrollo web.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Manejar y almacenar datos en base de “datos”.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IP FIJA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Virtualización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Dirección  de acceso para conexión remota a la aplicación.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CPANEL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Arriendo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Permite administrar configuración de servidor remoto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8"/>
                <w:szCs w:val="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Hosting de Dominio para sitio web y link de acceso a aplicación remota</w:t>
              <w:br w:type="textWrapping"/>
            </w:r>
            <w:r w:rsidDel="00000000" w:rsidR="00000000" w:rsidRPr="00000000">
              <w:rPr>
                <w:color w:val="00000a"/>
                <w:sz w:val="8"/>
                <w:szCs w:val="8"/>
                <w:rtl w:val="0"/>
              </w:rPr>
              <w:t xml:space="preserve">1 CPU compartido</w:t>
              <w:br w:type="textWrapping"/>
              <w:t xml:space="preserve">Hasta 512MB RAM compartidos</w:t>
              <w:br w:type="textWrapping"/>
              <w:t xml:space="preserve">1 Sitio</w:t>
              <w:br w:type="textWrapping"/>
              <w:t xml:space="preserve">Almacenamiento 100GB</w:t>
              <w:br w:type="textWrapping"/>
              <w:t xml:space="preserve">Tráfico 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Arriendo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Alojar sitio web institucional y links de acceso redirigido a IP Fija del Servidor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8"/>
                <w:szCs w:val="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Certificado SSL</w:t>
              <w:br w:type="textWrapping"/>
            </w:r>
            <w:r w:rsidDel="00000000" w:rsidR="00000000" w:rsidRPr="00000000">
              <w:rPr>
                <w:color w:val="00000a"/>
                <w:sz w:val="8"/>
                <w:szCs w:val="8"/>
                <w:rtl w:val="0"/>
              </w:rPr>
              <w:t xml:space="preserve">PositiveSSL (DV)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Cifrar y proteger información entre los agentes actuantes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 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Protocolo de Comunicación Ethernet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Virtualización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Concreta las comunicaciones tipo LAN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 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Conectores RJ45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Interconectar equipos de la institución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Cableado UTP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Conduce información entre un punto a y un punto B para la ejecución de un proceso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On-Premise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Concentra las conexiones tipo LAN hacia el servidor y equipos cliente.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NodeJs - React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Virtualización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Propio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288" w:lineRule="auto"/>
              <w:jc w:val="both"/>
              <w:rPr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Desarrollar contenido app.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426686" cy="99536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6686" cy="995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CRRfVfkD/ShVDnooYZgG8nj1Pw==">AMUW2mX8cH6qpcFyftD+0/0SxMvIvuzdkEGMN3R6QGruIRtDcrAdTpNJG1b0sCVx9ysslcD0+9MCNuIigwmmUO1prbmWWZ/gTf7hCXMGvqmhQf6uat0xStQ=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