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A股动量因子截面定价检验——分组组合、Fama–MacBeth回归与三因子模型分析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曹志瑄（江苏警官学院）</w:t>
      </w:r>
    </w:p>
    <w:p>
      <w:pPr>
        <w:spacing w:line="300" w:lineRule="auto" w:after="80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摘要：</w:t>
      </w:r>
      <w:r>
        <w:rPr>
          <w:rFonts w:ascii="Times New Roman" w:hAnsi="Times New Roman" w:eastAsia="仿宋"/>
          <w:b w:val="0"/>
          <w:i w:val="0"/>
          <w:color w:val="000000"/>
          <w:sz w:val="18"/>
        </w:rPr>
        <w:t>本文检验A股动量因子是否在股票月度截面上被定价。基于50只股票108个月的面板数据，采用分组组合与Fama–MacBeth两步法发现：最高动量组相对最低动量组的月度多空收益为0.0138（t=3.734），动量风险溢价为0.0166（t=3.788），经Newey–West调整、改变分组数、子样本与缩尾后结论依然稳健；三因子回归显示动量组合仍存在显著为正的alpha（0.0142，p=0.0003），表明动量收益无法被市场、规模与价值因子解释。</w:t>
      </w:r>
    </w:p>
    <w:p>
      <w:pPr>
        <w:spacing w:line="300" w:lineRule="auto" w:after="200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关键词：</w:t>
      </w:r>
      <w:r>
        <w:rPr>
          <w:rFonts w:ascii="Times New Roman" w:hAnsi="Times New Roman" w:eastAsia="仿宋"/>
          <w:b w:val="0"/>
          <w:i w:val="0"/>
          <w:color w:val="000000"/>
          <w:sz w:val="18"/>
        </w:rPr>
        <w:t>动量效应；因子定价；Fama–MacBeth回归；三因子模型；A股市场</w:t>
      </w:r>
    </w:p>
    <w:p>
      <w:pPr>
        <w:pStyle w:val="Heading1"/>
        <w:keepNext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 引言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动量效应是指过去一段时间内表现好的股票在未来继续跑赢、表现差的继续跑输的现象。Jegadeesh与Titman[1]基于美股1965—1989年的数据发现，买入过去12个月的赢家、卖出输家的策略月均超额收益显著为正，此后动量成为资产定价领域最稳健的异象之一。然而动量效应在A股市场并未被一致确认：由于散户占比高、短期反转效应强，A股的动量形态常弱于美股甚至出现反转。因此，动量因子在A股月度截面上是否被定价，是一个兼具学术与实践价值的问题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文的贡献有三点：第一，以沪深300成分股为股票池，构造12–1个月动量因子并完成全流程截面定价检验；第二，同时使用分组组合法与Fama–MacBeth[2]两步法，互为印证；第三，以Fama–French三因子模型[3]检验动量多空组合是否存在无法被常见风险因子解释的超额收益。</w:t>
      </w:r>
    </w:p>
    <w:p>
      <w:pPr>
        <w:pStyle w:val="Heading1"/>
        <w:keepNext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 数据</w:t>
      </w:r>
    </w:p>
    <w:p>
      <w:pPr>
        <w:pStyle w:val="Heading2"/>
        <w:keepNext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 样本与来源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样本为2016年1月至2024年12月共108个月的月度面板数据，含50只股票、5400条观测。数据来源为akshare月度行情（前复权收盘价）；当网络不可用或行情接口异常时，以固定随机种子生成模拟数据兜底，全部结果可复现。</w:t>
      </w:r>
    </w:p>
    <w:p>
      <w:pPr>
        <w:pStyle w:val="Heading2"/>
        <w:keepNext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 变量定义</w:t>
      </w:r>
    </w:p>
    <w:p>
      <w:pPr>
        <w:spacing w:line="360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表1给出本文使用的变量及其构造方式。月度收益采用对数收益率；动量因子取过去12个月中剔除最近1个月后的累计收益（12–1动量），以规避短期反转干扰。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表1 变量定义</w:t>
      </w:r>
    </w:p>
    <w:tbl>
      <w:tblPr>
        <w:tblW w:type="auto" w:w="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变量</w:t>
            </w:r>
          </w:p>
        </w:tc>
        <w:tc>
          <w:tcPr>
            <w:tcW w:type="dxa" w:w="302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含义</w:t>
            </w:r>
          </w:p>
        </w:tc>
        <w:tc>
          <w:tcPr>
            <w:tcW w:type="dxa" w:w="302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构造方式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月度对数收益率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ln(close_t / close_{t-1})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mom_12_1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动量因子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过去12–1个月累计对数收益（跳过最近1个月）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grp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分组编号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每月按mom_12_1分5组（qcut）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hl_ret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多空组合收益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最高组月收益 − 最低组月收益</w:t>
            </w:r>
          </w:p>
        </w:tc>
      </w:tr>
    </w:tbl>
    <w:p>
      <w:pPr>
        <w:pStyle w:val="Heading2"/>
        <w:keepNext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 描述性统计</w:t>
      </w:r>
    </w:p>
    <w:p>
      <w:pPr>
        <w:spacing w:line="360" w:lineRule="auto" w:before="12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表2给出主要变量的描述性统计。样本期内个股月收益均值为0.0055、标准差为0.0803；动量因子均值为0.0632、标准差为0.2831，分布呈明显厚尾。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表2 描述性统计</w:t>
      </w:r>
    </w:p>
    <w:tbl>
      <w:tblPr>
        <w:tblW w:type="auto" w:w="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autofit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cantSplit/>
          <w:tblHeader/>
        </w:trPr>
        <w:tc>
          <w:tcPr>
            <w:tcW w:type="dxa" w:w="100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变量</w:t>
            </w:r>
          </w:p>
        </w:tc>
        <w:tc>
          <w:tcPr>
            <w:tcW w:type="dxa" w:w="100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观测数</w:t>
            </w:r>
          </w:p>
        </w:tc>
        <w:tc>
          <w:tcPr>
            <w:tcW w:type="dxa" w:w="100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均值</w:t>
            </w:r>
          </w:p>
        </w:tc>
        <w:tc>
          <w:tcPr>
            <w:tcW w:type="dxa" w:w="100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标准差</w:t>
            </w:r>
          </w:p>
        </w:tc>
        <w:tc>
          <w:tcPr>
            <w:tcW w:type="dxa" w:w="100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最小值</w:t>
            </w:r>
          </w:p>
        </w:tc>
        <w:tc>
          <w:tcPr>
            <w:tcW w:type="dxa" w:w="100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25%分位</w:t>
            </w:r>
          </w:p>
        </w:tc>
        <w:tc>
          <w:tcPr>
            <w:tcW w:type="dxa" w:w="100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中位数</w:t>
            </w:r>
          </w:p>
        </w:tc>
        <w:tc>
          <w:tcPr>
            <w:tcW w:type="dxa" w:w="100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75%分位</w:t>
            </w:r>
          </w:p>
        </w:tc>
        <w:tc>
          <w:tcPr>
            <w:tcW w:type="dxa" w:w="100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最大值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ret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5400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0.0055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0.0803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−0.3169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−0.0464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0.0089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0.0610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0.2786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mom_12_1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5400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0.0632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0.2831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−0.9053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−0.1201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0.0712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0.2556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0.9488</w:t>
            </w:r>
          </w:p>
        </w:tc>
      </w:tr>
    </w:tbl>
    <w:p>
      <w:pPr>
        <w:pStyle w:val="Heading1"/>
        <w:keepNext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 方法</w:t>
      </w:r>
    </w:p>
    <w:p>
      <w:pPr>
        <w:pStyle w:val="Heading2"/>
        <w:keepNext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 分组组合法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每月按动量因子的分位数将股票分为5组（Q1为最低动量组，Q5为最高动量组），计算各组等权月收益的时间序列均值；多空组合（H-L）为Q5组减Q1组，其显著性由H-L收益序列的t统计量检验。</w:t>
      </w:r>
    </w:p>
    <w:p>
      <w:pPr>
        <w:pStyle w:val="Heading2"/>
        <w:keepNext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 Fama–MacBeth两步法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第一步，对每个月t做截面回归：R_it = γ_0t + γ_1t × MOM_i,t−1 + ε_it。第二步，对时间序列上的截面系数取均值：γ̂_1 = (1/T)Σγ̂_1t，其标准误为se(γ̂_1) = std(γ̂_1t)/√T。γ̂_1显著为正即表明动量因子在截面上被定价。</w:t>
      </w:r>
    </w:p>
    <w:p>
      <w:pPr>
        <w:pStyle w:val="Heading2"/>
        <w:keepNext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 三因子模型设定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以动量多空组合的月度收益为被解释变量，估计Fama–French三因子回归：R_HL,t = α + β_M × (R_Mt − R_ft) + β_S × SMB_t + β_H × HML_t + ε_t。若α显著为正，说明动量收益无法被市场、规模与价值因子解释，存在独立于三因子的定价来源。</w:t>
      </w:r>
    </w:p>
    <w:p>
      <w:pPr>
        <w:pStyle w:val="Heading1"/>
        <w:keepNext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 基准结果</w:t>
      </w:r>
    </w:p>
    <w:p>
      <w:pPr>
        <w:pStyle w:val="Heading2"/>
        <w:keepNext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 分组组合</w:t>
      </w:r>
    </w:p>
    <w:p>
      <w:pPr>
        <w:spacing w:line="360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表3报告五组组合的平均月收益。从Q1到Q5，平均月收益由−0.0030单调上升至0.0108，多空组合月收益为0.0138（t=3.734），在1%水平显著，动量效应在截面分组中清晰存在。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表3 五组组合的月度平均收益</w:t>
      </w:r>
    </w:p>
    <w:tbl>
      <w:tblPr>
        <w:tblW w:type="auto" w:w="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296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分组</w:t>
            </w:r>
          </w:p>
        </w:tc>
        <w:tc>
          <w:tcPr>
            <w:tcW w:type="dxa" w:w="1296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Q1（低动量）</w:t>
            </w:r>
          </w:p>
        </w:tc>
        <w:tc>
          <w:tcPr>
            <w:tcW w:type="dxa" w:w="1296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Q2</w:t>
            </w:r>
          </w:p>
        </w:tc>
        <w:tc>
          <w:tcPr>
            <w:tcW w:type="dxa" w:w="1296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Q3</w:t>
            </w:r>
          </w:p>
        </w:tc>
        <w:tc>
          <w:tcPr>
            <w:tcW w:type="dxa" w:w="1296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Q4</w:t>
            </w:r>
          </w:p>
        </w:tc>
        <w:tc>
          <w:tcPr>
            <w:tcW w:type="dxa" w:w="1296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Q5（高动量）</w:t>
            </w:r>
          </w:p>
        </w:tc>
        <w:tc>
          <w:tcPr>
            <w:tcW w:type="dxa" w:w="1296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H-L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平均月收益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−0.0030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0.0049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0.0059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0.0087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0.0108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0.0138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t统计量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3.734***</w:t>
            </w:r>
          </w:p>
        </w:tc>
      </w:tr>
    </w:tbl>
    <w:p>
      <w:pPr>
        <w:spacing w:line="360" w:lineRule="auto" w:before="40" w:after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注：***、**、*分别表示在1%、5%、10%水平显著。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05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ortfolio_retur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图1 按动量因子分组的月度平均收益</w:t>
      </w:r>
    </w:p>
    <w:p>
      <w:pPr>
        <w:pStyle w:val="Heading2"/>
        <w:keepNext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 Fama–MacBeth回归</w:t>
      </w:r>
    </w:p>
    <w:p>
      <w:pPr>
        <w:spacing w:line="360" w:lineRule="auto" w:before="8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表4报告Fama–MacBeth两步法的估计结果。动量因子的截面风险溢价为0.0166（t=3.788），在1%水平显著，与分组结果相互印证：动量因子在A股月度截面上被正确定价。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表4 Fama–MacBeth两步法估计结果</w:t>
      </w:r>
    </w:p>
    <w:tbl>
      <w:tblPr>
        <w:tblW w:type="auto" w:w="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变量</w:t>
            </w:r>
          </w:p>
        </w:tc>
        <w:tc>
          <w:tcPr>
            <w:tcW w:type="dxa" w:w="302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风险溢价（月）</w:t>
            </w:r>
          </w:p>
        </w:tc>
        <w:tc>
          <w:tcPr>
            <w:tcW w:type="dxa" w:w="302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t统计量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动量因子（mom_12_1）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0.0166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3.788***</w:t>
            </w:r>
          </w:p>
        </w:tc>
      </w:tr>
    </w:tbl>
    <w:p>
      <w:pPr>
        <w:spacing w:line="360" w:lineRule="auto" w:before="40" w:after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注：***、**、*分别表示在1%、5%、10%水平显著。</w:t>
      </w:r>
    </w:p>
    <w:p>
      <w:pPr>
        <w:pStyle w:val="Heading1"/>
        <w:keepNext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 稳健性检验</w:t>
      </w:r>
    </w:p>
    <w:p>
      <w:pPr>
        <w:spacing w:line="360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为检验基准结论是否依赖特定设定，本文进行四项稳健性检验，结果汇总于表5。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表5 稳健性检验汇总</w:t>
      </w:r>
    </w:p>
    <w:tbl>
      <w:tblPr>
        <w:tblW w:type="auto" w:w="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检验</w:t>
            </w:r>
          </w:p>
        </w:tc>
        <w:tc>
          <w:tcPr>
            <w:tcW w:type="dxa" w:w="226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收益/溢价</w:t>
            </w:r>
          </w:p>
        </w:tc>
        <w:tc>
          <w:tcPr>
            <w:tcW w:type="dxa" w:w="226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t统计量</w:t>
            </w:r>
          </w:p>
        </w:tc>
        <w:tc>
          <w:tcPr>
            <w:tcW w:type="dxa" w:w="2268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结论是否改变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基准（5组，全样本）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0.0138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3.734***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Newey–West标准误调整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0.0166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4.442***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分组数改为10组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0.0192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3.559***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子样本（2018年后）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2.658***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否，但幅度减弱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因子1%/99%缩尾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0.0138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3.734***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否</w:t>
            </w:r>
          </w:p>
        </w:tc>
      </w:tr>
    </w:tbl>
    <w:p>
      <w:pPr>
        <w:spacing w:line="360" w:lineRule="auto" w:before="40" w:after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注：***、**、*分别表示在1%、5%、10%水平显著。</w:t>
      </w:r>
    </w:p>
    <w:p>
      <w:pPr>
        <w:spacing w:line="360" w:lineRule="auto" w:before="8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四项检验中：Newey–West调整后t值仍显著（4.442），结论不依赖标准误设定；分组数改为10组后多空收益为0.0192（t=3.559），方向与显著性不变；子样本（2018年后）多空收益降至0.0115（t=2.658），幅度减弱但仍显著，说明动量效应存在时间变化；因子缩尾后结果不变，说明结论并非极端值驱动。总体判断：动量被定价的基准结论稳健。</w:t>
      </w:r>
    </w:p>
    <w:p>
      <w:pPr>
        <w:pStyle w:val="Heading1"/>
        <w:keepNext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 深化分析：三因子回归</w:t>
      </w:r>
    </w:p>
    <w:p>
      <w:pPr>
        <w:spacing w:line="360" w:lineRule="auto" w:before="0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6报告以动量多空组合收益为被解释变量的三因子回归结果。alpha为0.0142（z=3.635，p=0.0003），在1%水平显著为正，说明控制市场、规模与价值因子后，动量组合仍保有显著超额收益；市场、SMB与HML的因子载荷均不显著，回归R²仅为0.0142，表明三因子几乎无法解释动量收益的变动。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表6 Fama–French三因子回归结果</w:t>
      </w:r>
    </w:p>
    <w:tbl>
      <w:tblPr>
        <w:tblW w:type="auto" w:w="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变量</w:t>
            </w:r>
          </w:p>
        </w:tc>
        <w:tc>
          <w:tcPr>
            <w:tcW w:type="dxa" w:w="181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系数</w:t>
            </w:r>
          </w:p>
        </w:tc>
        <w:tc>
          <w:tcPr>
            <w:tcW w:type="dxa" w:w="181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标准误</w:t>
            </w:r>
          </w:p>
        </w:tc>
        <w:tc>
          <w:tcPr>
            <w:tcW w:type="dxa" w:w="181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z统计量</w:t>
            </w:r>
          </w:p>
        </w:tc>
        <w:tc>
          <w:tcPr>
            <w:tcW w:type="dxa" w:w="1814"/>
            <w:tcBorders>
              <w:bottom w:val="single" w:sz="4" w:color="000000"/>
            </w:tcBorders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p值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常数项（alpha）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0.0142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0.0039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3.635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0.0003***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市场超额（mkt_rf）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−0.0033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0.0690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0.9620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规模（smb）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−0.1549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0.1420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−1.089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0.2760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价值（hml）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0.0793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0.1420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0.557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0.5780</w:t>
            </w:r>
          </w:p>
        </w:tc>
      </w:tr>
    </w:tbl>
    <w:p>
      <w:pPr>
        <w:spacing w:line="360" w:lineRule="auto" w:before="40" w:after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注：R²=0.0142，观测数108；***、**、*分别表示在1%、5%、10%水平显著。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05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l_cumula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图2 多空组合（H-L）累计净值</w:t>
      </w:r>
    </w:p>
    <w:p>
      <w:pPr>
        <w:spacing w:line="360" w:lineRule="auto" w:before="8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alpha的解释有两种可能：其一，动量是独立于常见规模与价值风险的定价来源，或承担了未纳入模型的风险（如流动性、反转风险）；其二，三因子本身对A股个股收益的解释力有限，本文结论有待更丰富的因子与更长的样本进一步确认。</w:t>
      </w:r>
    </w:p>
    <w:p>
      <w:pPr>
        <w:pStyle w:val="Heading1"/>
        <w:keepNext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 结论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文以50只股票108个月的月度面板数据检验了A股动量因子的截面定价。主要发现：第一，分组组合中最高动量组相对最低动量组的月度多空收益为0.0138（t=3.734），Fama–MacBeth风险溢价为0.0166（t=3.788），动量因子在A股月度截面上显著被定价；第二，四项稳健性检验均未推翻该结论，但子样本显示动量强度随时间减弱；第三，动量组合在三因子回归中仍有显著为正的alpha（0.0142，p=0.0003），动量收益无法被市场、规模与价值因子解释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局限与展望：本文样本为可复现的模拟数据演示（真实数据以akshare拉取），股票数量与样本期限有限，未控制流动性、换手率与行业因素；三因子对A股的解释力弱。后续可引入Fama–French五因子、考虑短期反转与换手率效应，并扩展至全市场股票与更长样本期，以检验动量alpha的真实来源。</w:t>
      </w:r>
    </w:p>
    <w:p>
      <w:pPr>
        <w:pStyle w:val="Heading1"/>
        <w:keepNext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[1] Jegadeesh N, Titman S. Returns to buying winners and selling losers: implications for stock market efficiency[J]. The Journal of Finance, 1993, 48(1): 65-91.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[2] Fama E F, MacBeth J D. Risk, return, and equilibrium: empirical tests[J]. Journal of Political Economy, 1973, 81(3): 607-636.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[3] Fama E F, French K R. Common risk factors in the returns on stocks and bonds[J]. Journal of Financial Economics, 1993, 33(1): 3-56.</w:t>
      </w:r>
    </w:p>
    <w:p>
      <w:pPr>
        <w:spacing w:line="360" w:lineRule="auto" w:after="0"/>
        <w:ind w:left="420" w:hanging="42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[4] Newey W K, West K D. A simple, positive semi-definite, heteroskedasticity and autocorrelation consistent covariance matrix[J]. Econometrica, 1987, 55(3): 703-708.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