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b/>
          <w:color w:val="000000"/>
          <w:sz w:val="32"/>
        </w:rPr>
        <w:t>目  录</w:t>
      </w:r>
    </w:p>
    <w:p>
      <w:pPr>
        <w:pStyle w:val="TOC1"/>
        <w:tabs>
          <w:tab w:val="right" w:leader="dot" w:pos="9406"/>
        </w:tabs>
      </w:pPr>
      <w:r>
        <w:fldChar w:fldCharType="begin"/>
      </w:r>
      <w:r>
        <w:instrText xml:space="preserve"> TOC \o "1-2" \h \z \u </w:instrText>
      </w:r>
      <w:r>
        <w:fldChar w:fldCharType="separate"/>
      </w:r>
      <w:hyperlink w:anchor="_LarkToc00001" w:history="1">
        <w:r>
          <w:t>1 引言</w:t>
        </w:r>
        <w:r>
          <w:tab/>
        </w:r>
        <w:r>
          <w:fldChar w:fldCharType="begin"/>
        </w:r>
        <w:r>
          <w:instrText xml:space="preserve"> PAGEREF _LarkToc00001 \h </w:instrText>
        </w:r>
        <w:r>
          <w:fldChar w:fldCharType="separate"/>
        </w:r>
        <w:r>
          <w:t>1</w:t>
        </w:r>
        <w:r>
          <w:fldChar w:fldCharType="end"/>
        </w:r>
      </w:hyperlink>
    </w:p>
    <w:p>
      <w:pPr>
        <w:pStyle w:val="TOC2"/>
        <w:tabs>
          <w:tab w:val="right" w:leader="dot" w:pos="9406"/>
        </w:tabs>
      </w:pPr>
      <w:hyperlink w:anchor="_LarkToc00002" w:history="1">
        <w:r>
          <w:t>1.1 研究背景与目的</w:t>
        </w:r>
        <w:r>
          <w:tab/>
        </w:r>
        <w:r>
          <w:fldChar w:fldCharType="begin"/>
        </w:r>
        <w:r>
          <w:instrText xml:space="preserve"> PAGEREF _LarkToc00002 \h </w:instrText>
        </w:r>
        <w:r>
          <w:fldChar w:fldCharType="separate"/>
        </w:r>
        <w:r>
          <w:t>1</w:t>
        </w:r>
        <w:r>
          <w:fldChar w:fldCharType="end"/>
        </w:r>
      </w:hyperlink>
    </w:p>
    <w:p>
      <w:pPr>
        <w:pStyle w:val="TOC2"/>
        <w:tabs>
          <w:tab w:val="right" w:leader="dot" w:pos="9406"/>
        </w:tabs>
      </w:pPr>
      <w:hyperlink w:anchor="_LarkToc00003" w:history="1">
        <w:r>
          <w:t>1.2 研究设计与结构</w:t>
        </w:r>
        <w:r>
          <w:tab/>
        </w:r>
        <w:r>
          <w:fldChar w:fldCharType="begin"/>
        </w:r>
        <w:r>
          <w:instrText xml:space="preserve"> PAGEREF _LarkToc00003 \h </w:instrText>
        </w:r>
        <w:r>
          <w:fldChar w:fldCharType="separate"/>
        </w:r>
        <w:r>
          <w:t>2</w:t>
        </w:r>
        <w:r>
          <w:fldChar w:fldCharType="end"/>
        </w:r>
      </w:hyperlink>
    </w:p>
    <w:p>
      <w:pPr>
        <w:pStyle w:val="TOC1"/>
        <w:tabs>
          <w:tab w:val="right" w:leader="dot" w:pos="9406"/>
        </w:tabs>
      </w:pPr>
      <w:hyperlink w:anchor="_LarkToc00004" w:history="1">
        <w:r>
          <w:t>2 数据与方法</w:t>
        </w:r>
        <w:r>
          <w:tab/>
        </w:r>
        <w:r>
          <w:fldChar w:fldCharType="begin"/>
        </w:r>
        <w:r>
          <w:instrText xml:space="preserve"> PAGEREF _LarkToc00004 \h </w:instrText>
        </w:r>
        <w:r>
          <w:fldChar w:fldCharType="separate"/>
        </w:r>
        <w:r>
          <w:t>2</w:t>
        </w:r>
        <w:r>
          <w:fldChar w:fldCharType="end"/>
        </w:r>
      </w:hyperlink>
    </w:p>
    <w:p>
      <w:pPr>
        <w:pStyle w:val="TOC2"/>
        <w:tabs>
          <w:tab w:val="right" w:leader="dot" w:pos="9406"/>
        </w:tabs>
      </w:pPr>
      <w:hyperlink w:anchor="_LarkToc00005" w:history="1">
        <w:r>
          <w:t>2.1 数据来源与生成方案</w:t>
        </w:r>
        <w:r>
          <w:tab/>
        </w:r>
        <w:r>
          <w:fldChar w:fldCharType="begin"/>
        </w:r>
        <w:r>
          <w:instrText xml:space="preserve"> PAGEREF _LarkToc00005 \h </w:instrText>
        </w:r>
        <w:r>
          <w:fldChar w:fldCharType="separate"/>
        </w:r>
        <w:r>
          <w:t>2</w:t>
        </w:r>
        <w:r>
          <w:fldChar w:fldCharType="end"/>
        </w:r>
      </w:hyperlink>
    </w:p>
    <w:p>
      <w:pPr>
        <w:pStyle w:val="TOC2"/>
        <w:tabs>
          <w:tab w:val="right" w:leader="dot" w:pos="9406"/>
        </w:tabs>
      </w:pPr>
      <w:hyperlink w:anchor="_LarkToc00006" w:history="1">
        <w:r>
          <w:t>2.2 检验工具与统计口径</w:t>
        </w:r>
        <w:r>
          <w:tab/>
        </w:r>
        <w:r>
          <w:fldChar w:fldCharType="begin"/>
        </w:r>
        <w:r>
          <w:instrText xml:space="preserve"> PAGEREF _LarkToc00006 \h </w:instrText>
        </w:r>
        <w:r>
          <w:fldChar w:fldCharType="separate"/>
        </w:r>
        <w:r>
          <w:t>2</w:t>
        </w:r>
        <w:r>
          <w:fldChar w:fldCharType="end"/>
        </w:r>
      </w:hyperlink>
    </w:p>
    <w:p>
      <w:pPr>
        <w:pStyle w:val="TOC2"/>
        <w:tabs>
          <w:tab w:val="right" w:leader="dot" w:pos="9406"/>
        </w:tabs>
      </w:pPr>
      <w:hyperlink w:anchor="_LarkToc00007" w:history="1">
        <w:r>
          <w:t>2.3 检验框架</w:t>
        </w:r>
        <w:r>
          <w:tab/>
        </w:r>
        <w:r>
          <w:fldChar w:fldCharType="begin"/>
        </w:r>
        <w:r>
          <w:instrText xml:space="preserve"> PAGEREF _LarkToc00007 \h </w:instrText>
        </w:r>
        <w:r>
          <w:fldChar w:fldCharType="separate"/>
        </w:r>
        <w:r>
          <w:t>2</w:t>
        </w:r>
        <w:r>
          <w:fldChar w:fldCharType="end"/>
        </w:r>
      </w:hyperlink>
    </w:p>
    <w:p>
      <w:pPr>
        <w:pStyle w:val="TOC1"/>
        <w:tabs>
          <w:tab w:val="right" w:leader="dot" w:pos="9406"/>
        </w:tabs>
      </w:pPr>
      <w:hyperlink w:anchor="_LarkToc00008" w:history="1">
        <w:r>
          <w:t>3 结果与分析</w:t>
        </w:r>
        <w:r>
          <w:tab/>
        </w:r>
        <w:r>
          <w:fldChar w:fldCharType="begin"/>
        </w:r>
        <w:r>
          <w:instrText xml:space="preserve"> PAGEREF _LarkToc00008 \h </w:instrText>
        </w:r>
        <w:r>
          <w:fldChar w:fldCharType="separate"/>
        </w:r>
        <w:r>
          <w:t>3</w:t>
        </w:r>
        <w:r>
          <w:fldChar w:fldCharType="end"/>
        </w:r>
      </w:hyperlink>
    </w:p>
    <w:p>
      <w:pPr>
        <w:pStyle w:val="TOC2"/>
        <w:tabs>
          <w:tab w:val="right" w:leader="dot" w:pos="9406"/>
        </w:tabs>
      </w:pPr>
      <w:hyperlink w:anchor="_LarkToc00009" w:history="1">
        <w:r>
          <w:t>3.1 风险收益度量与资产配置（Day1至Day3）</w:t>
        </w:r>
        <w:r>
          <w:tab/>
        </w:r>
        <w:r>
          <w:fldChar w:fldCharType="begin"/>
        </w:r>
        <w:r>
          <w:instrText xml:space="preserve"> PAGEREF _LarkToc00009 \h </w:instrText>
        </w:r>
        <w:r>
          <w:fldChar w:fldCharType="separate"/>
        </w:r>
        <w:r>
          <w:t>3</w:t>
        </w:r>
        <w:r>
          <w:fldChar w:fldCharType="end"/>
        </w:r>
      </w:hyperlink>
    </w:p>
    <w:p>
      <w:pPr>
        <w:pStyle w:val="TOC2"/>
        <w:tabs>
          <w:tab w:val="right" w:leader="dot" w:pos="9406"/>
        </w:tabs>
      </w:pPr>
      <w:hyperlink w:anchor="_LarkToc00010" w:history="1">
        <w:r>
          <w:t>3.2 定价模型：β、CAPM 与因子模型（Day4至Day8）</w:t>
        </w:r>
        <w:r>
          <w:tab/>
        </w:r>
        <w:r>
          <w:fldChar w:fldCharType="begin"/>
        </w:r>
        <w:r>
          <w:instrText xml:space="preserve"> PAGEREF _LarkToc00010 \h </w:instrText>
        </w:r>
        <w:r>
          <w:fldChar w:fldCharType="separate"/>
        </w:r>
        <w:r>
          <w:t>3</w:t>
        </w:r>
        <w:r>
          <w:fldChar w:fldCharType="end"/>
        </w:r>
      </w:hyperlink>
    </w:p>
    <w:p>
      <w:pPr>
        <w:pStyle w:val="TOC2"/>
        <w:tabs>
          <w:tab w:val="right" w:leader="dot" w:pos="9406"/>
        </w:tabs>
      </w:pPr>
      <w:hyperlink w:anchor="_LarkToc00011" w:history="1">
        <w:r>
          <w:t>3.3 市场有效性检验（Day9）</w:t>
        </w:r>
        <w:r>
          <w:tab/>
        </w:r>
        <w:r>
          <w:fldChar w:fldCharType="begin"/>
        </w:r>
        <w:r>
          <w:instrText xml:space="preserve"> PAGEREF _LarkToc00011 \h </w:instrText>
        </w:r>
        <w:r>
          <w:fldChar w:fldCharType="separate"/>
        </w:r>
        <w:r>
          <w:t>4</w:t>
        </w:r>
        <w:r>
          <w:fldChar w:fldCharType="end"/>
        </w:r>
      </w:hyperlink>
    </w:p>
    <w:p>
      <w:pPr>
        <w:pStyle w:val="TOC2"/>
        <w:tabs>
          <w:tab w:val="right" w:leader="dot" w:pos="9406"/>
        </w:tabs>
      </w:pPr>
      <w:hyperlink w:anchor="_LarkToc00012" w:history="1">
        <w:r>
          <w:t>3.4 债券与股票估值（Day10至Day11）</w:t>
        </w:r>
        <w:r>
          <w:tab/>
        </w:r>
        <w:r>
          <w:fldChar w:fldCharType="begin"/>
        </w:r>
        <w:r>
          <w:instrText xml:space="preserve"> PAGEREF _LarkToc00012 \h </w:instrText>
        </w:r>
        <w:r>
          <w:fldChar w:fldCharType="separate"/>
        </w:r>
        <w:r>
          <w:t>4</w:t>
        </w:r>
        <w:r>
          <w:fldChar w:fldCharType="end"/>
        </w:r>
      </w:hyperlink>
    </w:p>
    <w:p>
      <w:pPr>
        <w:pStyle w:val="TOC2"/>
        <w:tabs>
          <w:tab w:val="right" w:leader="dot" w:pos="9406"/>
        </w:tabs>
      </w:pPr>
      <w:hyperlink w:anchor="_LarkToc00013" w:history="1">
        <w:r>
          <w:t>3.5 期权定价与希腊字母（Day12至Day13）</w:t>
        </w:r>
        <w:r>
          <w:tab/>
        </w:r>
        <w:r>
          <w:fldChar w:fldCharType="begin"/>
        </w:r>
        <w:r>
          <w:instrText xml:space="preserve"> PAGEREF _LarkToc00013 \h </w:instrText>
        </w:r>
        <w:r>
          <w:fldChar w:fldCharType="separate"/>
        </w:r>
        <w:r>
          <w:t>5</w:t>
        </w:r>
        <w:r>
          <w:fldChar w:fldCharType="end"/>
        </w:r>
      </w:hyperlink>
    </w:p>
    <w:p>
      <w:pPr>
        <w:pStyle w:val="TOC2"/>
        <w:tabs>
          <w:tab w:val="right" w:leader="dot" w:pos="9406"/>
        </w:tabs>
      </w:pPr>
      <w:hyperlink w:anchor="_LarkToc00014" w:history="1">
        <w:r>
          <w:t>3.6 组合绩效评价与实战（Day14至Day15）</w:t>
        </w:r>
        <w:r>
          <w:tab/>
        </w:r>
        <w:r>
          <w:fldChar w:fldCharType="begin"/>
        </w:r>
        <w:r>
          <w:instrText xml:space="preserve"> PAGEREF _LarkToc00014 \h </w:instrText>
        </w:r>
        <w:r>
          <w:fldChar w:fldCharType="separate"/>
        </w:r>
        <w:r>
          <w:t>5</w:t>
        </w:r>
        <w:r>
          <w:fldChar w:fldCharType="end"/>
        </w:r>
      </w:hyperlink>
    </w:p>
    <w:p>
      <w:pPr>
        <w:pStyle w:val="TOC1"/>
        <w:tabs>
          <w:tab w:val="right" w:leader="dot" w:pos="9406"/>
        </w:tabs>
      </w:pPr>
      <w:hyperlink w:anchor="_LarkToc00015" w:history="1">
        <w:r>
          <w:t>4 讨论</w:t>
        </w:r>
        <w:r>
          <w:tab/>
        </w:r>
        <w:r>
          <w:fldChar w:fldCharType="begin"/>
        </w:r>
        <w:r>
          <w:instrText xml:space="preserve"> PAGEREF _LarkToc00015 \h </w:instrText>
        </w:r>
        <w:r>
          <w:fldChar w:fldCharType="separate"/>
        </w:r>
        <w:r>
          <w:t>6</w:t>
        </w:r>
        <w:r>
          <w:fldChar w:fldCharType="end"/>
        </w:r>
      </w:hyperlink>
    </w:p>
    <w:p>
      <w:pPr>
        <w:pStyle w:val="TOC2"/>
        <w:tabs>
          <w:tab w:val="right" w:leader="dot" w:pos="9406"/>
        </w:tabs>
      </w:pPr>
      <w:hyperlink w:anchor="_LarkToc00016" w:history="1">
        <w:r>
          <w:t>4.1 模拟数据的限定</w:t>
        </w:r>
        <w:r>
          <w:tab/>
        </w:r>
        <w:r>
          <w:fldChar w:fldCharType="begin"/>
        </w:r>
        <w:r>
          <w:instrText xml:space="preserve"> PAGEREF _LarkToc00016 \h </w:instrText>
        </w:r>
        <w:r>
          <w:fldChar w:fldCharType="separate"/>
        </w:r>
        <w:r>
          <w:t>6</w:t>
        </w:r>
        <w:r>
          <w:fldChar w:fldCharType="end"/>
        </w:r>
      </w:hyperlink>
    </w:p>
    <w:p>
      <w:pPr>
        <w:pStyle w:val="TOC2"/>
        <w:tabs>
          <w:tab w:val="right" w:leader="dot" w:pos="9406"/>
        </w:tabs>
      </w:pPr>
      <w:hyperlink w:anchor="_LarkToc00017" w:history="1">
        <w:r>
          <w:t>4.2 方法对实践的启示</w:t>
        </w:r>
        <w:r>
          <w:tab/>
        </w:r>
        <w:r>
          <w:fldChar w:fldCharType="begin"/>
        </w:r>
        <w:r>
          <w:instrText xml:space="preserve"> PAGEREF _LarkToc00017 \h </w:instrText>
        </w:r>
        <w:r>
          <w:fldChar w:fldCharType="separate"/>
        </w:r>
        <w:r>
          <w:t>6</w:t>
        </w:r>
        <w:r>
          <w:fldChar w:fldCharType="end"/>
        </w:r>
      </w:hyperlink>
    </w:p>
    <w:p>
      <w:pPr>
        <w:pStyle w:val="TOC1"/>
        <w:tabs>
          <w:tab w:val="right" w:leader="dot" w:pos="9406"/>
        </w:tabs>
      </w:pPr>
      <w:hyperlink w:anchor="_LarkToc00018" w:history="1">
        <w:r>
          <w:t>5 结论</w:t>
        </w:r>
        <w:r>
          <w:tab/>
        </w:r>
        <w:r>
          <w:fldChar w:fldCharType="begin"/>
        </w:r>
        <w:r>
          <w:instrText xml:space="preserve"> PAGEREF _LarkToc00018 \h </w:instrText>
        </w:r>
        <w:r>
          <w:fldChar w:fldCharType="separate"/>
        </w:r>
        <w:r>
          <w:t>7</w:t>
        </w:r>
        <w:r>
          <w:fldChar w:fldCharType="end"/>
        </w:r>
      </w:hyperlink>
    </w:p>
    <w:p>
      <w:pPr>
        <w:pStyle w:val="TOC1"/>
        <w:tabs>
          <w:tab w:val="right" w:leader="dot" w:pos="9406"/>
        </w:tabs>
      </w:pPr>
      <w:hyperlink w:anchor="_LarkToc00019" w:history="1">
        <w:r>
          <w:t>参考文献</w:t>
        </w:r>
        <w:r>
          <w:tab/>
        </w:r>
        <w:r>
          <w:fldChar w:fldCharType="begin"/>
        </w:r>
        <w:r>
          <w:instrText xml:space="preserve"> PAGEREF _LarkToc00019 \h </w:instrText>
        </w:r>
        <w:r>
          <w:fldChar w:fldCharType="separate"/>
        </w:r>
        <w:r>
          <w:t>7</w:t>
        </w:r>
        <w:r>
          <w:fldChar w:fldCharType="end"/>
        </w:r>
      </w:hyperlink>
    </w:p>
    <w:p>
      <w:pPr>
        <w:pStyle w:val="TOC1"/>
        <w:tabs>
          <w:tab w:val="right" w:leader="dot" w:pos="9406"/>
        </w:tabs>
      </w:pPr>
      <w:hyperlink w:anchor="_LarkToc00020" w:history="1">
        <w:r>
          <w:t>附录A 核心代码</w:t>
        </w:r>
        <w:r>
          <w:tab/>
        </w:r>
        <w:r>
          <w:fldChar w:fldCharType="begin"/>
        </w:r>
        <w:r>
          <w:instrText xml:space="preserve"> PAGEREF _LarkToc00020 \h </w:instrText>
        </w:r>
        <w:r>
          <w:fldChar w:fldCharType="separate"/>
        </w:r>
        <w:r>
          <w:t>7</w:t>
        </w:r>
        <w:r>
          <w:fldChar w:fldCharType="end"/>
        </w:r>
      </w:hyperlink>
      <w:r>
        <w:fldChar w:fldCharType="end"/>
      </w:r>
    </w:p>
    <w:p>
      <w:pPr>
        <w:sectPr>
          <w:pgSz w:w="12240" w:h="15840"/>
          <w:pgMar w:top="1417" w:right="1417" w:bottom="1417" w:left="1417" w:header="720" w:footer="720" w:gutter="0"/>
          <w:cols w:space="720"/>
          <w:docGrid w:linePitch="360"/>
        </w:sectPr>
      </w:pPr>
    </w:p>
    <w:p>
      <w:pPr>
        <w:pStyle w:val="Title"/>
      </w:pPr>
      <w:r>
        <w:rPr>
          <w:rFonts w:ascii="Times New Roman" w:hAnsi="Times New Roman" w:eastAsia="黑体"/>
          <w:b/>
          <w:color w:val="000000"/>
          <w:sz w:val="36"/>
        </w:rPr>
        <w:t>投资学与资产定价核心命题的实证检验</w:t>
      </w:r>
    </w:p>
    <w:p>
      <w:pPr>
        <w:pStyle w:val="Title"/>
        <w:spacing w:after="240"/>
      </w:pPr>
      <w:r>
        <w:rPr>
          <w:rFonts w:ascii="Times New Roman" w:hAnsi="Times New Roman" w:eastAsia="黑体"/>
          <w:b/>
          <w:color w:val="000000"/>
          <w:sz w:val="36"/>
        </w:rPr>
        <w:t>——基于模拟数据的十五日研究报告</w:t>
      </w:r>
    </w:p>
    <w:p>
      <w:pPr>
        <w:spacing w:line="360" w:lineRule="auto"/>
        <w:jc w:val="center"/>
      </w:pPr>
      <w:r>
        <w:rPr>
          <w:rFonts w:ascii="Times New Roman" w:hAnsi="Times New Roman" w:eastAsia="楷体"/>
          <w:b w:val="0"/>
          <w:sz w:val="24"/>
        </w:rPr>
        <w:t>曹志瑄</w:t>
      </w:r>
    </w:p>
    <w:p>
      <w:pPr>
        <w:spacing w:line="360" w:lineRule="auto"/>
        <w:jc w:val="both"/>
      </w:pPr>
      <w:r>
        <w:rPr>
          <w:rFonts w:ascii="Times New Roman" w:hAnsi="Times New Roman" w:eastAsia="黑体"/>
          <w:b/>
          <w:sz w:val="21"/>
        </w:rPr>
        <w:t>摘要：</w:t>
      </w:r>
      <w:r>
        <w:rPr>
          <w:rFonts w:ascii="Times New Roman" w:hAnsi="Times New Roman" w:eastAsia="仿宋"/>
          <w:sz w:val="21"/>
        </w:rPr>
        <w:t>目的：系统检验投资学与资产定价核心命题在可复现数据上的成立性，将十五日制学习的全部工作沉淀为一份实证研究。方法：以固定随机种子生成模拟资产收益序列，围绕风险收益度量、资产配置、资产定价模型、市场有效性、债券与股票估值、期权定价及组合绩效评价六个环节，完成十五组可复现检验，工具为 Python 3 与 NumPy、SciPy。结果：全部检验复现理论预期：下行半方差（0.0200）显著小于总波动（0.3392），最优配置比例 y*=0.540，切点组合夏普比率（0.765）高于任一单一资产；样本 β 估计值1.221接近设定真值1.2，三因子回归还原因子载荷（SMB≈0.31、HML≈0.48）且截距 α 趋近零；二叉树与 Black-Scholes 看涨期权价值（8.916 与 9.413）相互收敛，买卖平价两侧相等（2.955）；久期近似下利率上升1个百分点价格约下跌8.19%，凸性修正使实际跌幅更小。同时发现两项反例：仅对白噪声做线性组合无法构造出具有正自相关的“动量”序列，可预测性需要显式自相关结构；固定种子单次实现下组合信息比率可为负，提示单次模拟结果具有偶然性。结论：模拟研究有效串联投资学理论与计算实现，验证了分散化极限、β 定价、因子归因、平价关系与久期凸性等关键结论及其成立条件；但模拟数据不能替代真实市场的结构特征，后续应以真实行情与更长样本展开实证。</w:t>
      </w:r>
    </w:p>
    <w:p>
      <w:pPr>
        <w:spacing w:line="360" w:lineRule="auto"/>
        <w:jc w:val="both"/>
      </w:pPr>
      <w:r>
        <w:rPr>
          <w:rFonts w:ascii="Times New Roman" w:hAnsi="Times New Roman" w:eastAsia="黑体"/>
          <w:b/>
          <w:sz w:val="21"/>
        </w:rPr>
        <w:t>关键词：</w:t>
      </w:r>
      <w:r>
        <w:rPr>
          <w:rFonts w:ascii="Times New Roman" w:hAnsi="Times New Roman" w:eastAsia="仿宋"/>
          <w:sz w:val="21"/>
        </w:rPr>
        <w:t>投资学；资产定价；模拟数据；资本资产定价模型；期权定价；组合管理</w:t>
      </w:r>
    </w:p>
    <w:p>
      <w:pPr>
        <w:pStyle w:val="Heading1"/>
      </w:pPr>
      <w:bookmarkStart w:id="1" w:name="_LarkToc00001"/>
      <w:r>
        <w:rPr>
          <w:rFonts w:ascii="Times New Roman" w:hAnsi="Times New Roman" w:eastAsia="黑体"/>
          <w:color w:val="000000"/>
        </w:rPr>
        <w:t>1 引言</w:t>
      </w:r>
      <w:bookmarkEnd w:id="1"/>
    </w:p>
    <w:p>
      <w:pPr>
        <w:pStyle w:val="Heading2"/>
      </w:pPr>
      <w:bookmarkStart w:id="2" w:name="_LarkToc00002"/>
      <w:r>
        <w:rPr>
          <w:rFonts w:ascii="Times New Roman" w:hAnsi="Times New Roman" w:eastAsia="黑体"/>
          <w:color w:val="000000"/>
        </w:rPr>
        <w:t>1.1 研究背景与目的</w:t>
      </w:r>
      <w:bookmarkEnd w:id="2"/>
    </w:p>
    <w:p>
      <w:pPr>
        <w:spacing w:line="360" w:lineRule="auto"/>
        <w:ind w:firstLine="420"/>
        <w:jc w:val="both"/>
      </w:pPr>
      <w:r>
        <w:rPr>
          <w:rFonts w:ascii="Times New Roman" w:hAnsi="Times New Roman" w:eastAsia="宋体"/>
          <w:sz w:val="21"/>
        </w:rPr>
        <w:t>投资学与资产定价以实践为导向组织为十五日制学习，覆盖从收益率度量到组合管理的完整链条。理论学习若不落到可复现的计算上，容易停留在公式层面：分散化到底能把风险压到多低、β 定价如何落地、因子模型怎样把超额收益归因清楚，都需要用数据回答。本研究的目的有三：一是把十五天学习的工作（知识点、代码、自检答案）沉淀为一份结构完整的小论文；二是用固定种子的模拟数据系统检验核心命题，验证学到的结论在数据上是否成立；三是为后续接入真实市场研究搭建可复现的方法框架。</w:t>
      </w:r>
    </w:p>
    <w:p>
      <w:pPr>
        <w:spacing w:line="360" w:lineRule="auto"/>
        <w:ind w:firstLine="420"/>
        <w:jc w:val="both"/>
      </w:pPr>
      <w:r>
        <w:rPr>
          <w:rFonts w:ascii="Times New Roman" w:hAnsi="Times New Roman" w:eastAsia="宋体"/>
          <w:sz w:val="21"/>
        </w:rPr>
        <w:t>本文的研究对象是“模拟市场”，这是刻意为之的选择：模拟数据的真实参数（β、因子载荷、波动率）是研究者自己设定的，因此检验的重点不是“市场是否存在某规律”，而是“给定已知为真的结构，教材结论能否被正确还原、计算口径是否正确”。这一设计把理论学习与计量实现解耦，使十五天所学得到无噪声的验证。</w:t>
      </w:r>
    </w:p>
    <w:p>
      <w:pPr>
        <w:pStyle w:val="Heading2"/>
      </w:pPr>
      <w:bookmarkStart w:id="3" w:name="_LarkToc00003"/>
      <w:r>
        <w:rPr>
          <w:rFonts w:ascii="Times New Roman" w:hAnsi="Times New Roman" w:eastAsia="黑体"/>
          <w:color w:val="000000"/>
        </w:rPr>
        <w:t>1.2 研究设计与结构</w:t>
      </w:r>
      <w:bookmarkEnd w:id="3"/>
    </w:p>
    <w:p>
      <w:pPr>
        <w:spacing w:line="360" w:lineRule="auto"/>
        <w:ind w:firstLine="420"/>
        <w:jc w:val="both"/>
      </w:pPr>
      <w:r>
        <w:rPr>
          <w:rFonts w:ascii="Times New Roman" w:hAnsi="Times New Roman" w:eastAsia="宋体"/>
          <w:sz w:val="21"/>
        </w:rPr>
        <w:t>本文采用总—分—总结构：第2节给出数据生成方案、统计口径与检验框架；第3节按六个环节报告检验结果；第4节讨论模拟数据的限定与两项反例；第5节给出结论。全部数值由作者实际运行代码获得（Python 3 与 NumPy、SciPy，固定随机种子），可完全复现，核心代码见附录 A。</w:t>
      </w:r>
    </w:p>
    <w:p>
      <w:pPr>
        <w:pStyle w:val="Heading1"/>
      </w:pPr>
      <w:bookmarkStart w:id="4" w:name="_LarkToc00004"/>
      <w:r>
        <w:rPr>
          <w:rFonts w:ascii="Times New Roman" w:hAnsi="Times New Roman" w:eastAsia="黑体"/>
          <w:color w:val="000000"/>
        </w:rPr>
        <w:t>2 数据与方法</w:t>
      </w:r>
      <w:bookmarkEnd w:id="4"/>
    </w:p>
    <w:p>
      <w:pPr>
        <w:pStyle w:val="Heading2"/>
      </w:pPr>
      <w:bookmarkStart w:id="5" w:name="_LarkToc00005"/>
      <w:r>
        <w:rPr>
          <w:rFonts w:ascii="Times New Roman" w:hAnsi="Times New Roman" w:eastAsia="黑体"/>
          <w:color w:val="000000"/>
        </w:rPr>
        <w:t>2.1 数据来源与生成方案</w:t>
      </w:r>
      <w:bookmarkEnd w:id="5"/>
    </w:p>
    <w:p>
      <w:pPr>
        <w:spacing w:line="360" w:lineRule="auto"/>
        <w:ind w:firstLine="420"/>
        <w:jc w:val="both"/>
      </w:pPr>
      <w:r>
        <w:rPr>
          <w:rFonts w:ascii="Times New Roman" w:hAnsi="Times New Roman" w:eastAsia="宋体"/>
          <w:sz w:val="21"/>
        </w:rPr>
        <w:t>本文全部数据为模拟生成，按场景设计如下：其一，单资产收益率场景（Day1），以几何布朗运动生成250个交易日价格序列，日收益设定服从均值为0.0005、标准差为0.02的正态分布，随机种子为2026；其二，资产配置场景（Day2、Day15），给定参数化的期望收益、波动率与协方差矩阵；其三，回归场景（Day4至Day8），按线性数据生成模型构造，市场收益、因子收益以及真实 β 与因子载荷均为设定值，种子分别为7、11、13、17；其四，市场有效性检验场景（Day9），生成500个观测的正态收益序列，种子为23；其五，绩效评价场景（Day14），生成组合与基准日收益序列，种子为29。固定种子保证同一代码在任何环境输出一致，这是模拟研究可复现性的基础。</w:t>
      </w:r>
    </w:p>
    <w:p>
      <w:pPr>
        <w:pStyle w:val="Heading2"/>
      </w:pPr>
      <w:bookmarkStart w:id="6" w:name="_LarkToc00006"/>
      <w:r>
        <w:rPr>
          <w:rFonts w:ascii="Times New Roman" w:hAnsi="Times New Roman" w:eastAsia="黑体"/>
          <w:color w:val="000000"/>
        </w:rPr>
        <w:t>2.2 检验工具与统计口径</w:t>
      </w:r>
      <w:bookmarkEnd w:id="6"/>
    </w:p>
    <w:p>
      <w:pPr>
        <w:spacing w:line="360" w:lineRule="auto"/>
        <w:ind w:firstLine="420"/>
        <w:jc w:val="both"/>
      </w:pPr>
      <w:r>
        <w:rPr>
          <w:rFonts w:ascii="Times New Roman" w:hAnsi="Times New Roman" w:eastAsia="宋体"/>
          <w:sz w:val="21"/>
        </w:rPr>
        <w:t>年化口径：年化收益率等于日收益均值乘以250，年化波动率等于日收益标准差乘以250的平方根，后者的依据是波动率与时间的平方根成正比；β 以协方差比估计，即资产收益与市场收益的协方差除以市场收益方差；回归采用最小二乘估计；组合优化采用 scipy.optimize.minimize，权重和为1、权重界于0与1之间；期权定价采用二叉树回推与 Black-Scholes 解析式两种实现。</w:t>
      </w:r>
    </w:p>
    <w:p>
      <w:pPr>
        <w:pStyle w:val="Heading2"/>
      </w:pPr>
      <w:bookmarkStart w:id="7" w:name="_LarkToc00007"/>
      <w:r>
        <w:rPr>
          <w:rFonts w:ascii="Times New Roman" w:hAnsi="Times New Roman" w:eastAsia="黑体"/>
          <w:color w:val="000000"/>
        </w:rPr>
        <w:t>2.3 检验框架</w:t>
      </w:r>
      <w:bookmarkEnd w:id="7"/>
    </w:p>
    <w:p>
      <w:pPr>
        <w:spacing w:line="360" w:lineRule="auto"/>
        <w:ind w:firstLine="420"/>
        <w:jc w:val="both"/>
      </w:pPr>
      <w:r>
        <w:rPr>
          <w:rFonts w:ascii="Times New Roman" w:hAnsi="Times New Roman" w:eastAsia="宋体"/>
          <w:sz w:val="21"/>
        </w:rPr>
        <w:t>十五天内容映射为六个检验环节：度量与配置（Day1至Day3）、定价模型（Day4至Day8）、市场有效性（Day9）、估值（Day10至Day11）、期权定价（Day12至Day13）、绩效评价与实战（Day14至Day15），分别对应第3.1至3.6节。</w:t>
      </w:r>
    </w:p>
    <w:p>
      <w:pPr>
        <w:pStyle w:val="Heading1"/>
      </w:pPr>
      <w:bookmarkStart w:id="8" w:name="_LarkToc00008"/>
      <w:r>
        <w:rPr>
          <w:rFonts w:ascii="Times New Roman" w:hAnsi="Times New Roman" w:eastAsia="黑体"/>
          <w:color w:val="000000"/>
        </w:rPr>
        <w:t>3 结果与分析</w:t>
      </w:r>
      <w:bookmarkEnd w:id="8"/>
    </w:p>
    <w:p>
      <w:pPr>
        <w:pStyle w:val="Heading2"/>
      </w:pPr>
      <w:bookmarkStart w:id="9" w:name="_LarkToc00009"/>
      <w:r>
        <w:rPr>
          <w:rFonts w:ascii="Times New Roman" w:hAnsi="Times New Roman" w:eastAsia="黑体"/>
          <w:color w:val="000000"/>
        </w:rPr>
        <w:t>3.1 风险收益度量与资产配置（Day1至Day3）</w:t>
      </w:r>
      <w:bookmarkEnd w:id="9"/>
    </w:p>
    <w:p>
      <w:pPr>
        <w:spacing w:line="360" w:lineRule="auto"/>
        <w:ind w:firstLine="420"/>
        <w:jc w:val="both"/>
      </w:pPr>
      <w:r>
        <w:rPr>
          <w:rFonts w:ascii="Times New Roman" w:hAnsi="Times New Roman" w:eastAsia="宋体"/>
          <w:sz w:val="21"/>
        </w:rPr>
        <w:t>表1给出模拟价格序列的风险度量结果。下行半方差（0.0200）明显小于总体标准差（0.3392），原因在于它只统计低于目标（零）的亏损方向的波动，符合“风险即亏损”的直觉；最大回撤为负值-0.1955，提示该资产在样本期内最坏情形下从净值高点回撤约19.6%。</w:t>
      </w:r>
    </w:p>
    <w:p>
      <w:pPr>
        <w:spacing w:before="120" w:after="80" w:line="360" w:lineRule="auto"/>
        <w:jc w:val="center"/>
      </w:pPr>
      <w:r>
        <w:rPr>
          <w:rFonts w:ascii="Times New Roman" w:hAnsi="Times New Roman" w:eastAsia="黑体"/>
          <w:b/>
          <w:sz w:val="21"/>
        </w:rPr>
        <w:t>表1 模拟资产的风险度量结果（250个交易日，种子2026）</w:t>
      </w:r>
    </w:p>
    <w:tbl>
      <w:tblPr>
        <w:tblW w:type="auto" w:w="0"/>
        <w:jc w:val="center"/>
        <w:tblBorders>
          <w:top w:val="single" w:sz="12" w:space="0" w:color="000000"/>
          <w:bottom w:val="single" w:sz="12" w:space="0" w:color="000000"/>
          <w:left w:val="nil"/>
          <w:right w:val="nil"/>
          <w:insideH w:val="nil"/>
          <w:insideV w:val="nil"/>
        </w:tblBorders>
        <w:tblLook w:firstColumn="1" w:firstRow="1" w:lastColumn="0" w:lastRow="0" w:noHBand="0" w:noVBand="1" w:val="04A0"/>
        <w:tblGrid>
          <w:gridCol w:w="3402"/>
          <w:gridCol w:w="5670"/>
        </w:tblGrid>
      </w:tblPr>
      <w:tblGrid>
        <w:gridCol w:w="4703"/>
        <w:gridCol w:w="4703"/>
      </w:tblGrid>
      <w:tr>
        <w:tc>
          <w:tcPr>
            <w:tcW w:type="dxa" w:w="4703"/>
            <w:tcBorders>
              <w:bottom w:val="single" w:sz="6" w:space="0" w:color="000000"/>
            </w:tcBorders>
            <w:vAlign w:val="center"/>
          </w:tcPr>
          <w:p>
            <w:pPr>
              <w:spacing w:line="240" w:lineRule="auto"/>
              <w:ind w:firstLine="0" w:left="0"/>
              <w:jc w:val="center"/>
            </w:pPr>
            <w:r>
              <w:rPr>
                <w:rFonts w:ascii="Times New Roman" w:hAnsi="Times New Roman" w:eastAsia="宋体"/>
                <w:b/>
                <w:sz w:val="21"/>
              </w:rPr>
              <w:t>指标</w:t>
            </w:r>
          </w:p>
        </w:tc>
        <w:tc>
          <w:tcPr>
            <w:tcW w:type="dxa" w:w="4703"/>
            <w:tcBorders>
              <w:bottom w:val="single" w:sz="6" w:space="0" w:color="000000"/>
            </w:tcBorders>
            <w:vAlign w:val="center"/>
          </w:tcPr>
          <w:p>
            <w:pPr>
              <w:spacing w:line="240" w:lineRule="auto"/>
              <w:ind w:firstLine="0" w:left="0"/>
              <w:jc w:val="center"/>
            </w:pPr>
            <w:r>
              <w:rPr>
                <w:rFonts w:ascii="Times New Roman" w:hAnsi="Times New Roman" w:eastAsia="宋体"/>
                <w:b/>
                <w:sz w:val="21"/>
              </w:rPr>
              <w:t>数值</w:t>
            </w:r>
          </w:p>
        </w:tc>
      </w:tr>
      <w:tr>
        <w:tc>
          <w:tcPr>
            <w:tcW w:type="dxa" w:w="4703"/>
            <w:vAlign w:val="center"/>
          </w:tcPr>
          <w:p>
            <w:pPr>
              <w:spacing w:line="240" w:lineRule="auto"/>
              <w:ind w:firstLine="0" w:left="0"/>
              <w:jc w:val="center"/>
            </w:pPr>
            <w:r>
              <w:rPr>
                <w:rFonts w:ascii="Times New Roman" w:hAnsi="Times New Roman" w:eastAsia="宋体"/>
                <w:b w:val="0"/>
                <w:sz w:val="21"/>
              </w:rPr>
              <w:t>年化收益率</w:t>
            </w:r>
          </w:p>
        </w:tc>
        <w:tc>
          <w:tcPr>
            <w:tcW w:type="dxa" w:w="4703"/>
            <w:vAlign w:val="center"/>
          </w:tcPr>
          <w:p>
            <w:pPr>
              <w:spacing w:line="240" w:lineRule="auto"/>
              <w:ind w:firstLine="0" w:left="0"/>
              <w:jc w:val="center"/>
            </w:pPr>
            <w:r>
              <w:rPr>
                <w:rFonts w:ascii="Times New Roman" w:hAnsi="Times New Roman" w:eastAsia="宋体"/>
                <w:b w:val="0"/>
                <w:sz w:val="21"/>
              </w:rPr>
              <w:t>0.5700</w:t>
            </w:r>
          </w:p>
        </w:tc>
      </w:tr>
      <w:tr>
        <w:tc>
          <w:tcPr>
            <w:tcW w:type="dxa" w:w="4703"/>
            <w:vAlign w:val="center"/>
          </w:tcPr>
          <w:p>
            <w:pPr>
              <w:spacing w:line="240" w:lineRule="auto"/>
              <w:ind w:firstLine="0" w:left="0"/>
              <w:jc w:val="center"/>
            </w:pPr>
            <w:r>
              <w:rPr>
                <w:rFonts w:ascii="Times New Roman" w:hAnsi="Times New Roman" w:eastAsia="宋体"/>
                <w:b w:val="0"/>
                <w:sz w:val="21"/>
              </w:rPr>
              <w:t>年化波动率</w:t>
            </w:r>
          </w:p>
        </w:tc>
        <w:tc>
          <w:tcPr>
            <w:tcW w:type="dxa" w:w="4703"/>
            <w:vAlign w:val="center"/>
          </w:tcPr>
          <w:p>
            <w:pPr>
              <w:spacing w:line="240" w:lineRule="auto"/>
              <w:ind w:firstLine="0" w:left="0"/>
              <w:jc w:val="center"/>
            </w:pPr>
            <w:r>
              <w:rPr>
                <w:rFonts w:ascii="Times New Roman" w:hAnsi="Times New Roman" w:eastAsia="宋体"/>
                <w:b w:val="0"/>
                <w:sz w:val="21"/>
              </w:rPr>
              <w:t>0.3392</w:t>
            </w:r>
          </w:p>
        </w:tc>
      </w:tr>
      <w:tr>
        <w:tc>
          <w:tcPr>
            <w:tcW w:type="dxa" w:w="4703"/>
            <w:vAlign w:val="center"/>
          </w:tcPr>
          <w:p>
            <w:pPr>
              <w:spacing w:line="240" w:lineRule="auto"/>
              <w:ind w:firstLine="0" w:left="0"/>
              <w:jc w:val="center"/>
            </w:pPr>
            <w:r>
              <w:rPr>
                <w:rFonts w:ascii="Times New Roman" w:hAnsi="Times New Roman" w:eastAsia="宋体"/>
                <w:b w:val="0"/>
                <w:sz w:val="21"/>
              </w:rPr>
              <w:t>下行半方差</w:t>
            </w:r>
          </w:p>
        </w:tc>
        <w:tc>
          <w:tcPr>
            <w:tcW w:type="dxa" w:w="4703"/>
            <w:vAlign w:val="center"/>
          </w:tcPr>
          <w:p>
            <w:pPr>
              <w:spacing w:line="240" w:lineRule="auto"/>
              <w:ind w:firstLine="0" w:left="0"/>
              <w:jc w:val="center"/>
            </w:pPr>
            <w:r>
              <w:rPr>
                <w:rFonts w:ascii="Times New Roman" w:hAnsi="Times New Roman" w:eastAsia="宋体"/>
                <w:b w:val="0"/>
                <w:sz w:val="21"/>
              </w:rPr>
              <w:t>0.0200</w:t>
            </w:r>
          </w:p>
        </w:tc>
      </w:tr>
      <w:tr>
        <w:tc>
          <w:tcPr>
            <w:tcW w:type="dxa" w:w="4703"/>
            <w:vAlign w:val="center"/>
          </w:tcPr>
          <w:p>
            <w:pPr>
              <w:spacing w:line="240" w:lineRule="auto"/>
              <w:ind w:firstLine="0" w:left="0"/>
              <w:jc w:val="center"/>
            </w:pPr>
            <w:r>
              <w:rPr>
                <w:rFonts w:ascii="Times New Roman" w:hAnsi="Times New Roman" w:eastAsia="宋体"/>
                <w:b w:val="0"/>
                <w:sz w:val="21"/>
              </w:rPr>
              <w:t>最大回撤</w:t>
            </w:r>
          </w:p>
        </w:tc>
        <w:tc>
          <w:tcPr>
            <w:tcW w:type="dxa" w:w="4703"/>
            <w:vAlign w:val="center"/>
          </w:tcPr>
          <w:p>
            <w:pPr>
              <w:spacing w:line="240" w:lineRule="auto"/>
              <w:ind w:firstLine="0" w:left="0"/>
              <w:jc w:val="center"/>
            </w:pPr>
            <w:r>
              <w:rPr>
                <w:rFonts w:ascii="Times New Roman" w:hAnsi="Times New Roman" w:eastAsia="宋体"/>
                <w:b w:val="0"/>
                <w:sz w:val="21"/>
              </w:rPr>
              <w:t>-0.1955</w:t>
            </w:r>
          </w:p>
        </w:tc>
      </w:tr>
    </w:tbl>
    <w:p>
      <w:pPr>
        <w:spacing w:line="360" w:lineRule="auto"/>
        <w:ind w:firstLine="420"/>
        <w:jc w:val="both"/>
      </w:pPr>
      <w:r>
        <w:rPr>
          <w:rFonts w:ascii="Times New Roman" w:hAnsi="Times New Roman" w:eastAsia="宋体"/>
          <w:sz w:val="21"/>
        </w:rPr>
        <w:t>配置环节给定无风险利率3%、风险资产预期收益10%、波动率18%、风险厌恶系数 A=4，最优风险资产比例 y*=(0.10-0.03)/(4×0.18²)=0.540，组合预期收益6.78%、波动9.72%、夏普比率0.389。y*小于1说明在该风险厌恶水平下不借钱配置；若 y*大于1则意味着借入无风险资金加杠杆买入风险组合。前沿优化（三资产，相关系数偏低）结果显示：全局最小方差组合权重为（0.764，0.112，0.124），波动率9.19%，显著低于最低单资产波动率10%，验证了低相关资产分散化的价值；切点组合权重为（0.500，0.226，0.273），夏普比率0.765，高于任一单一资产（分别为0.50、0.50、0.55）。据此，两基金分离定理成立：理性投资者只需持有“切点组合与无风险资产的线性组合”，区别仅在于 y*如何分配。</w:t>
      </w:r>
    </w:p>
    <w:p>
      <w:pPr>
        <w:pStyle w:val="Heading2"/>
      </w:pPr>
      <w:bookmarkStart w:id="10" w:name="_LarkToc00010"/>
      <w:r>
        <w:rPr>
          <w:rFonts w:ascii="Times New Roman" w:hAnsi="Times New Roman" w:eastAsia="黑体"/>
          <w:color w:val="000000"/>
        </w:rPr>
        <w:t>3.2 定价模型：β、CAPM 与因子模型（Day4至Day8）</w:t>
      </w:r>
      <w:bookmarkEnd w:id="10"/>
    </w:p>
    <w:p>
      <w:pPr>
        <w:spacing w:line="360" w:lineRule="auto"/>
        <w:ind w:firstLine="420"/>
        <w:jc w:val="both"/>
      </w:pPr>
      <w:r>
        <w:rPr>
          <w:rFonts w:ascii="Times New Roman" w:hAnsi="Times New Roman" w:eastAsia="宋体"/>
          <w:sz w:val="21"/>
        </w:rPr>
        <w:t>β 估计：样本中资产收益与市场收益的相关系数为0.824，β 估计值1.221，接近设定真值1.2，证明协方差比口径能还原系统性敏感度，β 衡量的是资产对市场波动的敏感倍数而非关联强度。</w:t>
      </w:r>
    </w:p>
    <w:p>
      <w:pPr>
        <w:spacing w:line="360" w:lineRule="auto"/>
        <w:ind w:firstLine="420"/>
        <w:jc w:val="both"/>
      </w:pPr>
      <w:r>
        <w:rPr>
          <w:rFonts w:ascii="Times New Roman" w:hAnsi="Times New Roman" w:eastAsia="宋体"/>
          <w:sz w:val="21"/>
        </w:rPr>
        <w:t>CAPM 定价（无风险利率3%、市场预期收益10%）：证券市场线上 β 为0.5、1.0、1.5 的公平收益分别为6.50%、10.00%、13.50%；某基金实际预期收益9%、β 为0.8，其公平收益为8.6%，α 为+0.004，按 CAPM 判定被低估。这一结果同时说明：定价只取决于 β，与资产自身波动无关，因为非系统性风险可被分散而不获补偿。</w:t>
      </w:r>
    </w:p>
    <w:p>
      <w:pPr>
        <w:spacing w:line="360" w:lineRule="auto"/>
        <w:ind w:firstLine="420"/>
        <w:jc w:val="both"/>
      </w:pPr>
      <w:r>
        <w:rPr>
          <w:rFonts w:ascii="Times New Roman" w:hAnsi="Times New Roman" w:eastAsia="宋体"/>
          <w:sz w:val="21"/>
        </w:rPr>
        <w:t>市场模型回归（设定 α=0.002、β=0.9）：估计截距0.0022、斜率0.942、残差波动0.0122，均接近设定值，回归将收益拆解为“市场驱动部分”与“公司特有残差”，残差即非系统性风险。套利定价单因子回归：因子暴露0.799（设定0.8），APT 期望收益为0.02+0.799×0.03≈0.044。三因子回归结果见表2：截距 α≈0.0005 趋近零，市场 β、SMB、HML 载荷全部还原设定值，说明三因子把收益来源解释干净，剩余 α 才对应真正的选股能力；SMB 与 HML 分别代表小市值减大市值、高账面市值比减低的因子溢价。</w:t>
      </w:r>
    </w:p>
    <w:p>
      <w:pPr>
        <w:spacing w:before="120" w:after="80" w:line="360" w:lineRule="auto"/>
        <w:jc w:val="center"/>
      </w:pPr>
      <w:r>
        <w:rPr>
          <w:rFonts w:ascii="Times New Roman" w:hAnsi="Times New Roman" w:eastAsia="黑体"/>
          <w:b/>
          <w:sz w:val="21"/>
        </w:rPr>
        <w:t>表2 三因子回归结果（500个观测，种子17）</w:t>
      </w:r>
    </w:p>
    <w:tbl>
      <w:tblPr>
        <w:tblW w:type="auto" w:w="0"/>
        <w:jc w:val="center"/>
        <w:tblBorders>
          <w:top w:val="single" w:sz="12" w:space="0" w:color="000000"/>
          <w:bottom w:val="single" w:sz="12" w:space="0" w:color="000000"/>
          <w:left w:val="nil"/>
          <w:right w:val="nil"/>
          <w:insideH w:val="nil"/>
          <w:insideV w:val="nil"/>
        </w:tblBorders>
        <w:tblLook w:firstColumn="1" w:firstRow="1" w:lastColumn="0" w:lastRow="0" w:noHBand="0" w:noVBand="1" w:val="04A0"/>
        <w:tblGrid>
          <w:gridCol w:w="2835"/>
          <w:gridCol w:w="3118"/>
          <w:gridCol w:w="3118"/>
        </w:tblGrid>
      </w:tblPr>
      <w:tblGrid>
        <w:gridCol w:w="3135"/>
        <w:gridCol w:w="3135"/>
        <w:gridCol w:w="3135"/>
      </w:tblGrid>
      <w:tr>
        <w:tc>
          <w:tcPr>
            <w:tcW w:type="dxa" w:w="3135"/>
            <w:tcBorders>
              <w:bottom w:val="single" w:sz="6" w:space="0" w:color="000000"/>
            </w:tcBorders>
            <w:vAlign w:val="center"/>
          </w:tcPr>
          <w:p>
            <w:pPr>
              <w:spacing w:line="240" w:lineRule="auto"/>
              <w:ind w:firstLine="0" w:left="0"/>
              <w:jc w:val="center"/>
            </w:pPr>
            <w:r>
              <w:rPr>
                <w:rFonts w:ascii="Times New Roman" w:hAnsi="Times New Roman" w:eastAsia="宋体"/>
                <w:b/>
                <w:sz w:val="21"/>
              </w:rPr>
              <w:t>参数</w:t>
            </w:r>
          </w:p>
        </w:tc>
        <w:tc>
          <w:tcPr>
            <w:tcW w:type="dxa" w:w="3135"/>
            <w:tcBorders>
              <w:bottom w:val="single" w:sz="6" w:space="0" w:color="000000"/>
            </w:tcBorders>
            <w:vAlign w:val="center"/>
          </w:tcPr>
          <w:p>
            <w:pPr>
              <w:spacing w:line="240" w:lineRule="auto"/>
              <w:ind w:firstLine="0" w:left="0"/>
              <w:jc w:val="center"/>
            </w:pPr>
            <w:r>
              <w:rPr>
                <w:rFonts w:ascii="Times New Roman" w:hAnsi="Times New Roman" w:eastAsia="宋体"/>
                <w:b/>
                <w:sz w:val="21"/>
              </w:rPr>
              <w:t>设定值</w:t>
            </w:r>
          </w:p>
        </w:tc>
        <w:tc>
          <w:tcPr>
            <w:tcW w:type="dxa" w:w="3135"/>
            <w:tcBorders>
              <w:bottom w:val="single" w:sz="6" w:space="0" w:color="000000"/>
            </w:tcBorders>
            <w:vAlign w:val="center"/>
          </w:tcPr>
          <w:p>
            <w:pPr>
              <w:spacing w:line="240" w:lineRule="auto"/>
              <w:ind w:firstLine="0" w:left="0"/>
              <w:jc w:val="center"/>
            </w:pPr>
            <w:r>
              <w:rPr>
                <w:rFonts w:ascii="Times New Roman" w:hAnsi="Times New Roman" w:eastAsia="宋体"/>
                <w:b/>
                <w:sz w:val="21"/>
              </w:rPr>
              <w:t>估计值</w:t>
            </w:r>
          </w:p>
        </w:tc>
      </w:tr>
      <w:tr>
        <w:tc>
          <w:tcPr>
            <w:tcW w:type="dxa" w:w="3135"/>
            <w:vAlign w:val="center"/>
          </w:tcPr>
          <w:p>
            <w:pPr>
              <w:spacing w:line="240" w:lineRule="auto"/>
              <w:ind w:firstLine="0" w:left="0"/>
              <w:jc w:val="center"/>
            </w:pPr>
            <w:r>
              <w:rPr>
                <w:rFonts w:ascii="Times New Roman" w:hAnsi="Times New Roman" w:eastAsia="宋体"/>
                <w:b w:val="0"/>
                <w:sz w:val="21"/>
              </w:rPr>
              <w:t>α</w:t>
            </w:r>
          </w:p>
        </w:tc>
        <w:tc>
          <w:tcPr>
            <w:tcW w:type="dxa" w:w="3135"/>
            <w:vAlign w:val="center"/>
          </w:tcPr>
          <w:p>
            <w:pPr>
              <w:spacing w:line="240" w:lineRule="auto"/>
              <w:ind w:firstLine="0" w:left="0"/>
              <w:jc w:val="center"/>
            </w:pPr>
            <w:r>
              <w:rPr>
                <w:rFonts w:ascii="Times New Roman" w:hAnsi="Times New Roman" w:eastAsia="宋体"/>
                <w:b w:val="0"/>
                <w:sz w:val="21"/>
              </w:rPr>
              <w:t>0.001</w:t>
            </w:r>
          </w:p>
        </w:tc>
        <w:tc>
          <w:tcPr>
            <w:tcW w:type="dxa" w:w="3135"/>
            <w:vAlign w:val="center"/>
          </w:tcPr>
          <w:p>
            <w:pPr>
              <w:spacing w:line="240" w:lineRule="auto"/>
              <w:ind w:firstLine="0" w:left="0"/>
              <w:jc w:val="center"/>
            </w:pPr>
            <w:r>
              <w:rPr>
                <w:rFonts w:ascii="Times New Roman" w:hAnsi="Times New Roman" w:eastAsia="宋体"/>
                <w:b w:val="0"/>
                <w:sz w:val="21"/>
              </w:rPr>
              <w:t>0.0005</w:t>
            </w:r>
          </w:p>
        </w:tc>
      </w:tr>
      <w:tr>
        <w:tc>
          <w:tcPr>
            <w:tcW w:type="dxa" w:w="3135"/>
            <w:vAlign w:val="center"/>
          </w:tcPr>
          <w:p>
            <w:pPr>
              <w:spacing w:line="240" w:lineRule="auto"/>
              <w:ind w:firstLine="0" w:left="0"/>
              <w:jc w:val="center"/>
            </w:pPr>
            <w:r>
              <w:rPr>
                <w:rFonts w:ascii="Times New Roman" w:hAnsi="Times New Roman" w:eastAsia="宋体"/>
                <w:b w:val="0"/>
                <w:sz w:val="21"/>
              </w:rPr>
              <w:t>市场 β</w:t>
            </w:r>
          </w:p>
        </w:tc>
        <w:tc>
          <w:tcPr>
            <w:tcW w:type="dxa" w:w="3135"/>
            <w:vAlign w:val="center"/>
          </w:tcPr>
          <w:p>
            <w:pPr>
              <w:spacing w:line="240" w:lineRule="auto"/>
              <w:ind w:firstLine="0" w:left="0"/>
              <w:jc w:val="center"/>
            </w:pPr>
            <w:r>
              <w:rPr>
                <w:rFonts w:ascii="Times New Roman" w:hAnsi="Times New Roman" w:eastAsia="宋体"/>
                <w:b w:val="0"/>
                <w:sz w:val="21"/>
              </w:rPr>
              <w:t>1.0</w:t>
            </w:r>
          </w:p>
        </w:tc>
        <w:tc>
          <w:tcPr>
            <w:tcW w:type="dxa" w:w="3135"/>
            <w:vAlign w:val="center"/>
          </w:tcPr>
          <w:p>
            <w:pPr>
              <w:spacing w:line="240" w:lineRule="auto"/>
              <w:ind w:firstLine="0" w:left="0"/>
              <w:jc w:val="center"/>
            </w:pPr>
            <w:r>
              <w:rPr>
                <w:rFonts w:ascii="Times New Roman" w:hAnsi="Times New Roman" w:eastAsia="宋体"/>
                <w:b w:val="0"/>
                <w:sz w:val="21"/>
              </w:rPr>
              <w:t>1.01</w:t>
            </w:r>
          </w:p>
        </w:tc>
      </w:tr>
      <w:tr>
        <w:tc>
          <w:tcPr>
            <w:tcW w:type="dxa" w:w="3135"/>
            <w:vAlign w:val="center"/>
          </w:tcPr>
          <w:p>
            <w:pPr>
              <w:spacing w:line="240" w:lineRule="auto"/>
              <w:ind w:firstLine="0" w:left="0"/>
              <w:jc w:val="center"/>
            </w:pPr>
            <w:r>
              <w:rPr>
                <w:rFonts w:ascii="Times New Roman" w:hAnsi="Times New Roman" w:eastAsia="宋体"/>
                <w:b w:val="0"/>
                <w:sz w:val="21"/>
              </w:rPr>
              <w:t>SMB</w:t>
            </w:r>
          </w:p>
        </w:tc>
        <w:tc>
          <w:tcPr>
            <w:tcW w:type="dxa" w:w="3135"/>
            <w:vAlign w:val="center"/>
          </w:tcPr>
          <w:p>
            <w:pPr>
              <w:spacing w:line="240" w:lineRule="auto"/>
              <w:ind w:firstLine="0" w:left="0"/>
              <w:jc w:val="center"/>
            </w:pPr>
            <w:r>
              <w:rPr>
                <w:rFonts w:ascii="Times New Roman" w:hAnsi="Times New Roman" w:eastAsia="宋体"/>
                <w:b w:val="0"/>
                <w:sz w:val="21"/>
              </w:rPr>
              <w:t>0.3</w:t>
            </w:r>
          </w:p>
        </w:tc>
        <w:tc>
          <w:tcPr>
            <w:tcW w:type="dxa" w:w="3135"/>
            <w:vAlign w:val="center"/>
          </w:tcPr>
          <w:p>
            <w:pPr>
              <w:spacing w:line="240" w:lineRule="auto"/>
              <w:ind w:firstLine="0" w:left="0"/>
              <w:jc w:val="center"/>
            </w:pPr>
            <w:r>
              <w:rPr>
                <w:rFonts w:ascii="Times New Roman" w:hAnsi="Times New Roman" w:eastAsia="宋体"/>
                <w:b w:val="0"/>
                <w:sz w:val="21"/>
              </w:rPr>
              <w:t>0.31</w:t>
            </w:r>
          </w:p>
        </w:tc>
      </w:tr>
      <w:tr>
        <w:tc>
          <w:tcPr>
            <w:tcW w:type="dxa" w:w="3135"/>
            <w:vAlign w:val="center"/>
          </w:tcPr>
          <w:p>
            <w:pPr>
              <w:spacing w:line="240" w:lineRule="auto"/>
              <w:ind w:firstLine="0" w:left="0"/>
              <w:jc w:val="center"/>
            </w:pPr>
            <w:r>
              <w:rPr>
                <w:rFonts w:ascii="Times New Roman" w:hAnsi="Times New Roman" w:eastAsia="宋体"/>
                <w:b w:val="0"/>
                <w:sz w:val="21"/>
              </w:rPr>
              <w:t>HML</w:t>
            </w:r>
          </w:p>
        </w:tc>
        <w:tc>
          <w:tcPr>
            <w:tcW w:type="dxa" w:w="3135"/>
            <w:vAlign w:val="center"/>
          </w:tcPr>
          <w:p>
            <w:pPr>
              <w:spacing w:line="240" w:lineRule="auto"/>
              <w:ind w:firstLine="0" w:left="0"/>
              <w:jc w:val="center"/>
            </w:pPr>
            <w:r>
              <w:rPr>
                <w:rFonts w:ascii="Times New Roman" w:hAnsi="Times New Roman" w:eastAsia="宋体"/>
                <w:b w:val="0"/>
                <w:sz w:val="21"/>
              </w:rPr>
              <w:t>0.5</w:t>
            </w:r>
          </w:p>
        </w:tc>
        <w:tc>
          <w:tcPr>
            <w:tcW w:type="dxa" w:w="3135"/>
            <w:vAlign w:val="center"/>
          </w:tcPr>
          <w:p>
            <w:pPr>
              <w:spacing w:line="240" w:lineRule="auto"/>
              <w:ind w:firstLine="0" w:left="0"/>
              <w:jc w:val="center"/>
            </w:pPr>
            <w:r>
              <w:rPr>
                <w:rFonts w:ascii="Times New Roman" w:hAnsi="Times New Roman" w:eastAsia="宋体"/>
                <w:b w:val="0"/>
                <w:sz w:val="21"/>
              </w:rPr>
              <w:t>0.48</w:t>
            </w:r>
          </w:p>
        </w:tc>
      </w:tr>
    </w:tbl>
    <w:p>
      <w:pPr>
        <w:pStyle w:val="Heading2"/>
      </w:pPr>
      <w:bookmarkStart w:id="11" w:name="_LarkToc00011"/>
      <w:r>
        <w:rPr>
          <w:rFonts w:ascii="Times New Roman" w:hAnsi="Times New Roman" w:eastAsia="黑体"/>
          <w:color w:val="000000"/>
        </w:rPr>
        <w:t>3.3 市场有效性检验（Day9）</w:t>
      </w:r>
      <w:bookmarkEnd w:id="11"/>
    </w:p>
    <w:p>
      <w:pPr>
        <w:spacing w:line="360" w:lineRule="auto"/>
        <w:ind w:firstLine="420"/>
        <w:jc w:val="both"/>
      </w:pPr>
      <w:r>
        <w:rPr>
          <w:rFonts w:ascii="Times New Roman" w:hAnsi="Times New Roman" w:eastAsia="宋体"/>
          <w:sz w:val="21"/>
        </w:rPr>
        <w:t>对500个观测的正态收益序列计算滞后1期自相关系数，结果为0.0858。以95%置信区间±1.96/√500≈±0.088衡量，该值位于区间边界附近，未显著偏离零，符合弱式有效的特征：历史收益不能预测未来收益。为演示可预测序列，讲义原以白噪声的线性组合构造动量序列，但该构造的任意线性组合仍是白噪声，不会产生自相关；本文将其修正为显式一阶自回归序列 AR(1)，滞后1自相关达0.5346，显著为正。这一修正本身构成一项方法论结论：模拟数据不会自动产生动量，可预测性必须显式引入自相关结构，数据生成过程必须与检验目标一致。</w:t>
      </w:r>
    </w:p>
    <w:p>
      <w:pPr>
        <w:pStyle w:val="Heading2"/>
      </w:pPr>
      <w:bookmarkStart w:id="12" w:name="_LarkToc00012"/>
      <w:r>
        <w:rPr>
          <w:rFonts w:ascii="Times New Roman" w:hAnsi="Times New Roman" w:eastAsia="黑体"/>
          <w:color w:val="000000"/>
        </w:rPr>
        <w:t>3.4 债券与股票估值（Day10至Day11）</w:t>
      </w:r>
      <w:bookmarkEnd w:id="12"/>
    </w:p>
    <w:p>
      <w:pPr>
        <w:spacing w:line="360" w:lineRule="auto"/>
        <w:ind w:firstLine="420"/>
        <w:jc w:val="both"/>
      </w:pPr>
      <w:r>
        <w:rPr>
          <w:rFonts w:ascii="Times New Roman" w:hAnsi="Times New Roman" w:eastAsia="宋体"/>
          <w:sz w:val="21"/>
        </w:rPr>
        <w:t>表3给出十年期债券（票息5%、面值100、市场利率4%）的估值结果：价格108.11，因票息高于市场利率而溢价交易；麦考利久期8.191年，小于期限，近似“加权平均回本时间”；利率上升1个百分点，价格约下跌8.19%（久期近似），而凸性77.482为正，使实际跌幅略小于线性近似，对持有人有利——利率下降时涨得比久期预测多、上升时跌得比预测少。</w:t>
      </w:r>
    </w:p>
    <w:p>
      <w:pPr>
        <w:spacing w:before="120" w:after="80" w:line="360" w:lineRule="auto"/>
        <w:jc w:val="center"/>
      </w:pPr>
      <w:r>
        <w:rPr>
          <w:rFonts w:ascii="Times New Roman" w:hAnsi="Times New Roman" w:eastAsia="黑体"/>
          <w:b/>
          <w:sz w:val="21"/>
        </w:rPr>
        <w:t>表3 债券估值结果（票息5%、期限10年、市场利率4%）</w:t>
      </w:r>
    </w:p>
    <w:tbl>
      <w:tblPr>
        <w:tblW w:type="auto" w:w="0"/>
        <w:jc w:val="center"/>
        <w:tblBorders>
          <w:top w:val="single" w:sz="12" w:space="0" w:color="000000"/>
          <w:bottom w:val="single" w:sz="12" w:space="0" w:color="000000"/>
          <w:left w:val="nil"/>
          <w:right w:val="nil"/>
          <w:insideH w:val="nil"/>
          <w:insideV w:val="nil"/>
        </w:tblBorders>
        <w:tblLook w:firstColumn="1" w:firstRow="1" w:lastColumn="0" w:lastRow="0" w:noHBand="0" w:noVBand="1" w:val="04A0"/>
        <w:tblGrid>
          <w:gridCol w:w="3402"/>
          <w:gridCol w:w="5670"/>
        </w:tblGrid>
      </w:tblPr>
      <w:tblGrid>
        <w:gridCol w:w="4703"/>
        <w:gridCol w:w="4703"/>
      </w:tblGrid>
      <w:tr>
        <w:tc>
          <w:tcPr>
            <w:tcW w:type="dxa" w:w="4703"/>
            <w:tcBorders>
              <w:bottom w:val="single" w:sz="6" w:space="0" w:color="000000"/>
            </w:tcBorders>
            <w:vAlign w:val="center"/>
          </w:tcPr>
          <w:p>
            <w:pPr>
              <w:spacing w:line="240" w:lineRule="auto"/>
              <w:ind w:firstLine="0" w:left="0"/>
              <w:jc w:val="center"/>
            </w:pPr>
            <w:r>
              <w:rPr>
                <w:rFonts w:ascii="Times New Roman" w:hAnsi="Times New Roman" w:eastAsia="宋体"/>
                <w:b/>
                <w:sz w:val="21"/>
              </w:rPr>
              <w:t>指标</w:t>
            </w:r>
          </w:p>
        </w:tc>
        <w:tc>
          <w:tcPr>
            <w:tcW w:type="dxa" w:w="4703"/>
            <w:tcBorders>
              <w:bottom w:val="single" w:sz="6" w:space="0" w:color="000000"/>
            </w:tcBorders>
            <w:vAlign w:val="center"/>
          </w:tcPr>
          <w:p>
            <w:pPr>
              <w:spacing w:line="240" w:lineRule="auto"/>
              <w:ind w:firstLine="0" w:left="0"/>
              <w:jc w:val="center"/>
            </w:pPr>
            <w:r>
              <w:rPr>
                <w:rFonts w:ascii="Times New Roman" w:hAnsi="Times New Roman" w:eastAsia="宋体"/>
                <w:b/>
                <w:sz w:val="21"/>
              </w:rPr>
              <w:t>数值</w:t>
            </w:r>
          </w:p>
        </w:tc>
      </w:tr>
      <w:tr>
        <w:tc>
          <w:tcPr>
            <w:tcW w:type="dxa" w:w="4703"/>
            <w:vAlign w:val="center"/>
          </w:tcPr>
          <w:p>
            <w:pPr>
              <w:spacing w:line="240" w:lineRule="auto"/>
              <w:ind w:firstLine="0" w:left="0"/>
              <w:jc w:val="center"/>
            </w:pPr>
            <w:r>
              <w:rPr>
                <w:rFonts w:ascii="Times New Roman" w:hAnsi="Times New Roman" w:eastAsia="宋体"/>
                <w:b w:val="0"/>
                <w:sz w:val="21"/>
              </w:rPr>
              <w:t>债券价格</w:t>
            </w:r>
          </w:p>
        </w:tc>
        <w:tc>
          <w:tcPr>
            <w:tcW w:type="dxa" w:w="4703"/>
            <w:vAlign w:val="center"/>
          </w:tcPr>
          <w:p>
            <w:pPr>
              <w:spacing w:line="240" w:lineRule="auto"/>
              <w:ind w:firstLine="0" w:left="0"/>
              <w:jc w:val="center"/>
            </w:pPr>
            <w:r>
              <w:rPr>
                <w:rFonts w:ascii="Times New Roman" w:hAnsi="Times New Roman" w:eastAsia="宋体"/>
                <w:b w:val="0"/>
                <w:sz w:val="21"/>
              </w:rPr>
              <w:t>108.11</w:t>
            </w:r>
          </w:p>
        </w:tc>
      </w:tr>
      <w:tr>
        <w:tc>
          <w:tcPr>
            <w:tcW w:type="dxa" w:w="4703"/>
            <w:vAlign w:val="center"/>
          </w:tcPr>
          <w:p>
            <w:pPr>
              <w:spacing w:line="240" w:lineRule="auto"/>
              <w:ind w:firstLine="0" w:left="0"/>
              <w:jc w:val="center"/>
            </w:pPr>
            <w:r>
              <w:rPr>
                <w:rFonts w:ascii="Times New Roman" w:hAnsi="Times New Roman" w:eastAsia="宋体"/>
                <w:b w:val="0"/>
                <w:sz w:val="21"/>
              </w:rPr>
              <w:t>麦考利久期</w:t>
            </w:r>
          </w:p>
        </w:tc>
        <w:tc>
          <w:tcPr>
            <w:tcW w:type="dxa" w:w="4703"/>
            <w:vAlign w:val="center"/>
          </w:tcPr>
          <w:p>
            <w:pPr>
              <w:spacing w:line="240" w:lineRule="auto"/>
              <w:ind w:firstLine="0" w:left="0"/>
              <w:jc w:val="center"/>
            </w:pPr>
            <w:r>
              <w:rPr>
                <w:rFonts w:ascii="Times New Roman" w:hAnsi="Times New Roman" w:eastAsia="宋体"/>
                <w:b w:val="0"/>
                <w:sz w:val="21"/>
              </w:rPr>
              <w:t>8.191</w:t>
            </w:r>
          </w:p>
        </w:tc>
      </w:tr>
      <w:tr>
        <w:tc>
          <w:tcPr>
            <w:tcW w:type="dxa" w:w="4703"/>
            <w:vAlign w:val="center"/>
          </w:tcPr>
          <w:p>
            <w:pPr>
              <w:spacing w:line="240" w:lineRule="auto"/>
              <w:ind w:firstLine="0" w:left="0"/>
              <w:jc w:val="center"/>
            </w:pPr>
            <w:r>
              <w:rPr>
                <w:rFonts w:ascii="Times New Roman" w:hAnsi="Times New Roman" w:eastAsia="宋体"/>
                <w:b w:val="0"/>
                <w:sz w:val="21"/>
              </w:rPr>
              <w:t>凸性</w:t>
            </w:r>
          </w:p>
        </w:tc>
        <w:tc>
          <w:tcPr>
            <w:tcW w:type="dxa" w:w="4703"/>
            <w:vAlign w:val="center"/>
          </w:tcPr>
          <w:p>
            <w:pPr>
              <w:spacing w:line="240" w:lineRule="auto"/>
              <w:ind w:firstLine="0" w:left="0"/>
              <w:jc w:val="center"/>
            </w:pPr>
            <w:r>
              <w:rPr>
                <w:rFonts w:ascii="Times New Roman" w:hAnsi="Times New Roman" w:eastAsia="宋体"/>
                <w:b w:val="0"/>
                <w:sz w:val="21"/>
              </w:rPr>
              <w:t>77.482</w:t>
            </w:r>
          </w:p>
        </w:tc>
      </w:tr>
      <w:tr>
        <w:tc>
          <w:tcPr>
            <w:tcW w:type="dxa" w:w="4703"/>
            <w:vAlign w:val="center"/>
          </w:tcPr>
          <w:p>
            <w:pPr>
              <w:spacing w:line="240" w:lineRule="auto"/>
              <w:ind w:firstLine="0" w:left="0"/>
              <w:jc w:val="center"/>
            </w:pPr>
            <w:r>
              <w:rPr>
                <w:rFonts w:ascii="Times New Roman" w:hAnsi="Times New Roman" w:eastAsia="宋体"/>
                <w:b w:val="0"/>
                <w:sz w:val="21"/>
              </w:rPr>
              <w:t>利率+1%价格变动（久期近似）</w:t>
            </w:r>
          </w:p>
        </w:tc>
        <w:tc>
          <w:tcPr>
            <w:tcW w:type="dxa" w:w="4703"/>
            <w:vAlign w:val="center"/>
          </w:tcPr>
          <w:p>
            <w:pPr>
              <w:spacing w:line="240" w:lineRule="auto"/>
              <w:ind w:firstLine="0" w:left="0"/>
              <w:jc w:val="center"/>
            </w:pPr>
            <w:r>
              <w:rPr>
                <w:rFonts w:ascii="Times New Roman" w:hAnsi="Times New Roman" w:eastAsia="宋体"/>
                <w:b w:val="0"/>
                <w:sz w:val="21"/>
              </w:rPr>
              <w:t>-0.0819</w:t>
            </w:r>
          </w:p>
        </w:tc>
      </w:tr>
    </w:tbl>
    <w:p>
      <w:pPr>
        <w:spacing w:line="360" w:lineRule="auto"/>
        <w:ind w:firstLine="420"/>
        <w:jc w:val="both"/>
      </w:pPr>
      <w:r>
        <w:rPr>
          <w:rFonts w:ascii="Times New Roman" w:hAnsi="Times New Roman" w:eastAsia="宋体"/>
          <w:sz w:val="21"/>
        </w:rPr>
        <w:t>股票估值采用戈登增长模型（下期股利2.5、要求收益率10%）：永续增长率3%、5%、7%对应价格35.71、50.00、83.33——增长率 r-g 位于分母，增长假设变动4个百分点使价格翻倍有余，印证估值应给区间而非精确值；市盈率法（每股收益4、市盈率15倍）目标价60.00。</w:t>
      </w:r>
    </w:p>
    <w:p>
      <w:pPr>
        <w:pStyle w:val="Heading2"/>
      </w:pPr>
      <w:bookmarkStart w:id="13" w:name="_LarkToc00013"/>
      <w:r>
        <w:rPr>
          <w:rFonts w:ascii="Times New Roman" w:hAnsi="Times New Roman" w:eastAsia="黑体"/>
          <w:color w:val="000000"/>
        </w:rPr>
        <w:t>3.5 期权定价与希腊字母（Day12至Day13）</w:t>
      </w:r>
      <w:bookmarkEnd w:id="13"/>
    </w:p>
    <w:p>
      <w:pPr>
        <w:spacing w:line="360" w:lineRule="auto"/>
        <w:ind w:firstLine="420"/>
        <w:jc w:val="both"/>
      </w:pPr>
      <w:r>
        <w:rPr>
          <w:rFonts w:ascii="Times New Roman" w:hAnsi="Times New Roman" w:eastAsia="宋体"/>
          <w:sz w:val="21"/>
        </w:rPr>
        <w:t>表4为平价欧式期权（股价与行权价均为100、期限1年、利率3%、波动率20%）的定价结果：三期二叉树看涨期权价值8.916，Black-Scholes 看涨期权价值9.413，随步数增加二叉树向解析解收敛；Black-Scholes 看跌期权价值6.458；买卖平价两侧（看涨减看跌、股价减行权价现值）均为2.955，关系成立——看涨与看跌之间存在强制关系，可用于套利检验与相互换算。</w:t>
      </w:r>
    </w:p>
    <w:p>
      <w:pPr>
        <w:spacing w:before="120" w:after="80" w:line="360" w:lineRule="auto"/>
        <w:jc w:val="center"/>
      </w:pPr>
      <w:r>
        <w:rPr>
          <w:rFonts w:ascii="Times New Roman" w:hAnsi="Times New Roman" w:eastAsia="黑体"/>
          <w:b/>
          <w:sz w:val="21"/>
        </w:rPr>
        <w:t>表4 期权定价结果（S=K=100、T=1、r=3%、σ=20%）</w:t>
      </w:r>
    </w:p>
    <w:tbl>
      <w:tblPr>
        <w:tblW w:type="auto" w:w="0"/>
        <w:jc w:val="center"/>
        <w:tblBorders>
          <w:top w:val="single" w:sz="12" w:space="0" w:color="000000"/>
          <w:bottom w:val="single" w:sz="12" w:space="0" w:color="000000"/>
          <w:left w:val="nil"/>
          <w:right w:val="nil"/>
          <w:insideH w:val="nil"/>
          <w:insideV w:val="nil"/>
        </w:tblBorders>
        <w:tblLook w:firstColumn="1" w:firstRow="1" w:lastColumn="0" w:lastRow="0" w:noHBand="0" w:noVBand="1" w:val="04A0"/>
        <w:tblGrid>
          <w:gridCol w:w="3402"/>
          <w:gridCol w:w="5670"/>
        </w:tblGrid>
      </w:tblPr>
      <w:tblGrid>
        <w:gridCol w:w="4703"/>
        <w:gridCol w:w="4703"/>
      </w:tblGrid>
      <w:tr>
        <w:tc>
          <w:tcPr>
            <w:tcW w:type="dxa" w:w="4703"/>
            <w:tcBorders>
              <w:bottom w:val="single" w:sz="6" w:space="0" w:color="000000"/>
            </w:tcBorders>
            <w:vAlign w:val="center"/>
          </w:tcPr>
          <w:p>
            <w:pPr>
              <w:spacing w:line="240" w:lineRule="auto"/>
              <w:ind w:firstLine="0" w:left="0"/>
              <w:jc w:val="center"/>
            </w:pPr>
            <w:r>
              <w:rPr>
                <w:rFonts w:ascii="Times New Roman" w:hAnsi="Times New Roman" w:eastAsia="宋体"/>
                <w:b/>
                <w:sz w:val="21"/>
              </w:rPr>
              <w:t>指标</w:t>
            </w:r>
          </w:p>
        </w:tc>
        <w:tc>
          <w:tcPr>
            <w:tcW w:type="dxa" w:w="4703"/>
            <w:tcBorders>
              <w:bottom w:val="single" w:sz="6" w:space="0" w:color="000000"/>
            </w:tcBorders>
            <w:vAlign w:val="center"/>
          </w:tcPr>
          <w:p>
            <w:pPr>
              <w:spacing w:line="240" w:lineRule="auto"/>
              <w:ind w:firstLine="0" w:left="0"/>
              <w:jc w:val="center"/>
            </w:pPr>
            <w:r>
              <w:rPr>
                <w:rFonts w:ascii="Times New Roman" w:hAnsi="Times New Roman" w:eastAsia="宋体"/>
                <w:b/>
                <w:sz w:val="21"/>
              </w:rPr>
              <w:t>数值</w:t>
            </w:r>
          </w:p>
        </w:tc>
      </w:tr>
      <w:tr>
        <w:tc>
          <w:tcPr>
            <w:tcW w:type="dxa" w:w="4703"/>
            <w:vAlign w:val="center"/>
          </w:tcPr>
          <w:p>
            <w:pPr>
              <w:spacing w:line="240" w:lineRule="auto"/>
              <w:ind w:firstLine="0" w:left="0"/>
              <w:jc w:val="center"/>
            </w:pPr>
            <w:r>
              <w:rPr>
                <w:rFonts w:ascii="Times New Roman" w:hAnsi="Times New Roman" w:eastAsia="宋体"/>
                <w:b w:val="0"/>
                <w:sz w:val="21"/>
              </w:rPr>
              <w:t>三期二叉树看涨期权</w:t>
            </w:r>
          </w:p>
        </w:tc>
        <w:tc>
          <w:tcPr>
            <w:tcW w:type="dxa" w:w="4703"/>
            <w:vAlign w:val="center"/>
          </w:tcPr>
          <w:p>
            <w:pPr>
              <w:spacing w:line="240" w:lineRule="auto"/>
              <w:ind w:firstLine="0" w:left="0"/>
              <w:jc w:val="center"/>
            </w:pPr>
            <w:r>
              <w:rPr>
                <w:rFonts w:ascii="Times New Roman" w:hAnsi="Times New Roman" w:eastAsia="宋体"/>
                <w:b w:val="0"/>
                <w:sz w:val="21"/>
              </w:rPr>
              <w:t>8.916</w:t>
            </w:r>
          </w:p>
        </w:tc>
      </w:tr>
      <w:tr>
        <w:tc>
          <w:tcPr>
            <w:tcW w:type="dxa" w:w="4703"/>
            <w:vAlign w:val="center"/>
          </w:tcPr>
          <w:p>
            <w:pPr>
              <w:spacing w:line="240" w:lineRule="auto"/>
              <w:ind w:firstLine="0" w:left="0"/>
              <w:jc w:val="center"/>
            </w:pPr>
            <w:r>
              <w:rPr>
                <w:rFonts w:ascii="Times New Roman" w:hAnsi="Times New Roman" w:eastAsia="宋体"/>
                <w:b w:val="0"/>
                <w:sz w:val="21"/>
              </w:rPr>
              <w:t>Black-Scholes 看涨期权</w:t>
            </w:r>
          </w:p>
        </w:tc>
        <w:tc>
          <w:tcPr>
            <w:tcW w:type="dxa" w:w="4703"/>
            <w:vAlign w:val="center"/>
          </w:tcPr>
          <w:p>
            <w:pPr>
              <w:spacing w:line="240" w:lineRule="auto"/>
              <w:ind w:firstLine="0" w:left="0"/>
              <w:jc w:val="center"/>
            </w:pPr>
            <w:r>
              <w:rPr>
                <w:rFonts w:ascii="Times New Roman" w:hAnsi="Times New Roman" w:eastAsia="宋体"/>
                <w:b w:val="0"/>
                <w:sz w:val="21"/>
              </w:rPr>
              <w:t>9.413</w:t>
            </w:r>
          </w:p>
        </w:tc>
      </w:tr>
      <w:tr>
        <w:tc>
          <w:tcPr>
            <w:tcW w:type="dxa" w:w="4703"/>
            <w:vAlign w:val="center"/>
          </w:tcPr>
          <w:p>
            <w:pPr>
              <w:spacing w:line="240" w:lineRule="auto"/>
              <w:ind w:firstLine="0" w:left="0"/>
              <w:jc w:val="center"/>
            </w:pPr>
            <w:r>
              <w:rPr>
                <w:rFonts w:ascii="Times New Roman" w:hAnsi="Times New Roman" w:eastAsia="宋体"/>
                <w:b w:val="0"/>
                <w:sz w:val="21"/>
              </w:rPr>
              <w:t>Black-Scholes 看跌期权</w:t>
            </w:r>
          </w:p>
        </w:tc>
        <w:tc>
          <w:tcPr>
            <w:tcW w:type="dxa" w:w="4703"/>
            <w:vAlign w:val="center"/>
          </w:tcPr>
          <w:p>
            <w:pPr>
              <w:spacing w:line="240" w:lineRule="auto"/>
              <w:ind w:firstLine="0" w:left="0"/>
              <w:jc w:val="center"/>
            </w:pPr>
            <w:r>
              <w:rPr>
                <w:rFonts w:ascii="Times New Roman" w:hAnsi="Times New Roman" w:eastAsia="宋体"/>
                <w:b w:val="0"/>
                <w:sz w:val="21"/>
              </w:rPr>
              <w:t>6.458</w:t>
            </w:r>
          </w:p>
        </w:tc>
      </w:tr>
      <w:tr>
        <w:tc>
          <w:tcPr>
            <w:tcW w:type="dxa" w:w="4703"/>
            <w:vAlign w:val="center"/>
          </w:tcPr>
          <w:p>
            <w:pPr>
              <w:spacing w:line="240" w:lineRule="auto"/>
              <w:ind w:firstLine="0" w:left="0"/>
              <w:jc w:val="center"/>
            </w:pPr>
            <w:r>
              <w:rPr>
                <w:rFonts w:ascii="Times New Roman" w:hAnsi="Times New Roman" w:eastAsia="宋体"/>
                <w:b w:val="0"/>
                <w:sz w:val="21"/>
              </w:rPr>
              <w:t>买卖平价 C-P</w:t>
            </w:r>
          </w:p>
        </w:tc>
        <w:tc>
          <w:tcPr>
            <w:tcW w:type="dxa" w:w="4703"/>
            <w:vAlign w:val="center"/>
          </w:tcPr>
          <w:p>
            <w:pPr>
              <w:spacing w:line="240" w:lineRule="auto"/>
              <w:ind w:firstLine="0" w:left="0"/>
              <w:jc w:val="center"/>
            </w:pPr>
            <w:r>
              <w:rPr>
                <w:rFonts w:ascii="Times New Roman" w:hAnsi="Times New Roman" w:eastAsia="宋体"/>
                <w:b w:val="0"/>
                <w:sz w:val="21"/>
              </w:rPr>
              <w:t>2.955</w:t>
            </w:r>
          </w:p>
        </w:tc>
      </w:tr>
      <w:tr>
        <w:tc>
          <w:tcPr>
            <w:tcW w:type="dxa" w:w="4703"/>
            <w:vAlign w:val="center"/>
          </w:tcPr>
          <w:p>
            <w:pPr>
              <w:spacing w:line="240" w:lineRule="auto"/>
              <w:ind w:firstLine="0" w:left="0"/>
              <w:jc w:val="center"/>
            </w:pPr>
            <w:r>
              <w:rPr>
                <w:rFonts w:ascii="Times New Roman" w:hAnsi="Times New Roman" w:eastAsia="宋体"/>
                <w:b w:val="0"/>
                <w:sz w:val="21"/>
              </w:rPr>
              <w:t>S-K·e^(-rT)</w:t>
            </w:r>
          </w:p>
        </w:tc>
        <w:tc>
          <w:tcPr>
            <w:tcW w:type="dxa" w:w="4703"/>
            <w:vAlign w:val="center"/>
          </w:tcPr>
          <w:p>
            <w:pPr>
              <w:spacing w:line="240" w:lineRule="auto"/>
              <w:ind w:firstLine="0" w:left="0"/>
              <w:jc w:val="center"/>
            </w:pPr>
            <w:r>
              <w:rPr>
                <w:rFonts w:ascii="Times New Roman" w:hAnsi="Times New Roman" w:eastAsia="宋体"/>
                <w:b w:val="0"/>
                <w:sz w:val="21"/>
              </w:rPr>
              <w:t>2.955</w:t>
            </w:r>
          </w:p>
        </w:tc>
      </w:tr>
    </w:tbl>
    <w:p>
      <w:pPr>
        <w:spacing w:line="360" w:lineRule="auto"/>
        <w:ind w:firstLine="420"/>
        <w:jc w:val="both"/>
      </w:pPr>
      <w:r>
        <w:rPr>
          <w:rFonts w:ascii="Times New Roman" w:hAnsi="Times New Roman" w:eastAsia="宋体"/>
          <w:sz w:val="21"/>
        </w:rPr>
        <w:t>平值看涨期权的希腊字母：Delta 为0.599（平值附近约0.5至0.6，近似到期实值概率），Gamma 为0.0193（平值期权 Delta 对股价最敏感、对冲调整最频繁），Theta 为-5.380（时间流逝使期权贬值，期权买方在买时间），Vega 为0.387（波动率上升期权变贵），Rho 为0.505。这些敏感度指标构成期权风险管理的基础：Delta 对冲按 Delta 买卖股票，Gamma 决定对冲调整频率，Theta 与 Vega 分别度量时间与波动率的暴露。</w:t>
      </w:r>
    </w:p>
    <w:p>
      <w:pPr>
        <w:pStyle w:val="Heading2"/>
      </w:pPr>
      <w:bookmarkStart w:id="14" w:name="_LarkToc00014"/>
      <w:r>
        <w:rPr>
          <w:rFonts w:ascii="Times New Roman" w:hAnsi="Times New Roman" w:eastAsia="黑体"/>
          <w:color w:val="000000"/>
        </w:rPr>
        <w:t>3.6 组合绩效评价与实战（Day14至Day15）</w:t>
      </w:r>
      <w:bookmarkEnd w:id="14"/>
    </w:p>
    <w:p>
      <w:pPr>
        <w:spacing w:line="360" w:lineRule="auto"/>
        <w:ind w:firstLine="420"/>
        <w:jc w:val="both"/>
      </w:pPr>
      <w:r>
        <w:rPr>
          <w:rFonts w:ascii="Times New Roman" w:hAnsi="Times New Roman" w:eastAsia="宋体"/>
          <w:sz w:val="21"/>
        </w:rPr>
        <w:t>表5为单次模拟实现下组合相对基准的四类绩效指标。需说明两点：其一，该组模拟参数中组合日收益均值0.009对应年化约225%，明显高于现实量级，指标绝对值仅为教学演示，不可直接类比真实基金；其二，四类指标口径互补——夏普比率度量单位总风险（标准差）的超额收益，特雷诺比率只计系统性风险（β），詹森 α 度量超出 CAPM 定价的部分，信息比率以跟踪误差为分母度量主动管理的质量。</w:t>
      </w:r>
    </w:p>
    <w:p>
      <w:pPr>
        <w:spacing w:before="120" w:after="80" w:line="360" w:lineRule="auto"/>
        <w:jc w:val="center"/>
      </w:pPr>
      <w:r>
        <w:rPr>
          <w:rFonts w:ascii="Times New Roman" w:hAnsi="Times New Roman" w:eastAsia="黑体"/>
          <w:b/>
          <w:sz w:val="21"/>
        </w:rPr>
        <w:t>表5 绩效评价指标（单次模拟实现，种子29）</w:t>
      </w:r>
    </w:p>
    <w:tbl>
      <w:tblPr>
        <w:tblW w:type="auto" w:w="0"/>
        <w:jc w:val="center"/>
        <w:tblBorders>
          <w:top w:val="single" w:sz="12" w:space="0" w:color="000000"/>
          <w:bottom w:val="single" w:sz="12" w:space="0" w:color="000000"/>
          <w:left w:val="nil"/>
          <w:right w:val="nil"/>
          <w:insideH w:val="nil"/>
          <w:insideV w:val="nil"/>
        </w:tblBorders>
        <w:tblLook w:firstColumn="1" w:firstRow="1" w:lastColumn="0" w:lastRow="0" w:noHBand="0" w:noVBand="1" w:val="04A0"/>
        <w:tblGrid>
          <w:gridCol w:w="3402"/>
          <w:gridCol w:w="5670"/>
        </w:tblGrid>
      </w:tblPr>
      <w:tblGrid>
        <w:gridCol w:w="4703"/>
        <w:gridCol w:w="4703"/>
      </w:tblGrid>
      <w:tr>
        <w:tc>
          <w:tcPr>
            <w:tcW w:type="dxa" w:w="4703"/>
            <w:tcBorders>
              <w:bottom w:val="single" w:sz="6" w:space="0" w:color="000000"/>
            </w:tcBorders>
            <w:vAlign w:val="center"/>
          </w:tcPr>
          <w:p>
            <w:pPr>
              <w:spacing w:line="240" w:lineRule="auto"/>
              <w:ind w:firstLine="0" w:left="0"/>
              <w:jc w:val="center"/>
            </w:pPr>
            <w:r>
              <w:rPr>
                <w:rFonts w:ascii="Times New Roman" w:hAnsi="Times New Roman" w:eastAsia="宋体"/>
                <w:b/>
                <w:sz w:val="21"/>
              </w:rPr>
              <w:t>指标</w:t>
            </w:r>
          </w:p>
        </w:tc>
        <w:tc>
          <w:tcPr>
            <w:tcW w:type="dxa" w:w="4703"/>
            <w:tcBorders>
              <w:bottom w:val="single" w:sz="6" w:space="0" w:color="000000"/>
            </w:tcBorders>
            <w:vAlign w:val="center"/>
          </w:tcPr>
          <w:p>
            <w:pPr>
              <w:spacing w:line="240" w:lineRule="auto"/>
              <w:ind w:firstLine="0" w:left="0"/>
              <w:jc w:val="center"/>
            </w:pPr>
            <w:r>
              <w:rPr>
                <w:rFonts w:ascii="Times New Roman" w:hAnsi="Times New Roman" w:eastAsia="宋体"/>
                <w:b/>
                <w:sz w:val="21"/>
              </w:rPr>
              <w:t>数值</w:t>
            </w:r>
          </w:p>
        </w:tc>
      </w:tr>
      <w:tr>
        <w:tc>
          <w:tcPr>
            <w:tcW w:type="dxa" w:w="4703"/>
            <w:vAlign w:val="center"/>
          </w:tcPr>
          <w:p>
            <w:pPr>
              <w:spacing w:line="240" w:lineRule="auto"/>
              <w:ind w:firstLine="0" w:left="0"/>
              <w:jc w:val="center"/>
            </w:pPr>
            <w:r>
              <w:rPr>
                <w:rFonts w:ascii="Times New Roman" w:hAnsi="Times New Roman" w:eastAsia="宋体"/>
                <w:b w:val="0"/>
                <w:sz w:val="21"/>
              </w:rPr>
              <w:t>夏普比率</w:t>
            </w:r>
          </w:p>
        </w:tc>
        <w:tc>
          <w:tcPr>
            <w:tcW w:type="dxa" w:w="4703"/>
            <w:vAlign w:val="center"/>
          </w:tcPr>
          <w:p>
            <w:pPr>
              <w:spacing w:line="240" w:lineRule="auto"/>
              <w:ind w:firstLine="0" w:left="0"/>
              <w:jc w:val="center"/>
            </w:pPr>
            <w:r>
              <w:rPr>
                <w:rFonts w:ascii="Times New Roman" w:hAnsi="Times New Roman" w:eastAsia="宋体"/>
                <w:b w:val="0"/>
                <w:sz w:val="21"/>
              </w:rPr>
              <w:t>7.375</w:t>
            </w:r>
          </w:p>
        </w:tc>
      </w:tr>
      <w:tr>
        <w:tc>
          <w:tcPr>
            <w:tcW w:type="dxa" w:w="4703"/>
            <w:vAlign w:val="center"/>
          </w:tcPr>
          <w:p>
            <w:pPr>
              <w:spacing w:line="240" w:lineRule="auto"/>
              <w:ind w:firstLine="0" w:left="0"/>
              <w:jc w:val="center"/>
            </w:pPr>
            <w:r>
              <w:rPr>
                <w:rFonts w:ascii="Times New Roman" w:hAnsi="Times New Roman" w:eastAsia="宋体"/>
                <w:b w:val="0"/>
                <w:sz w:val="21"/>
              </w:rPr>
              <w:t>特雷诺比率</w:t>
            </w:r>
          </w:p>
        </w:tc>
        <w:tc>
          <w:tcPr>
            <w:tcW w:type="dxa" w:w="4703"/>
            <w:vAlign w:val="center"/>
          </w:tcPr>
          <w:p>
            <w:pPr>
              <w:spacing w:line="240" w:lineRule="auto"/>
              <w:ind w:firstLine="0" w:left="0"/>
              <w:jc w:val="center"/>
            </w:pPr>
            <w:r>
              <w:rPr>
                <w:rFonts w:ascii="Times New Roman" w:hAnsi="Times New Roman" w:eastAsia="宋体"/>
                <w:b w:val="0"/>
                <w:sz w:val="21"/>
              </w:rPr>
              <w:t>21.178</w:t>
            </w:r>
          </w:p>
        </w:tc>
      </w:tr>
      <w:tr>
        <w:tc>
          <w:tcPr>
            <w:tcW w:type="dxa" w:w="4703"/>
            <w:vAlign w:val="center"/>
          </w:tcPr>
          <w:p>
            <w:pPr>
              <w:spacing w:line="240" w:lineRule="auto"/>
              <w:ind w:firstLine="0" w:left="0"/>
              <w:jc w:val="center"/>
            </w:pPr>
            <w:r>
              <w:rPr>
                <w:rFonts w:ascii="Times New Roman" w:hAnsi="Times New Roman" w:eastAsia="宋体"/>
                <w:b w:val="0"/>
                <w:sz w:val="21"/>
              </w:rPr>
              <w:t>詹森 α</w:t>
            </w:r>
          </w:p>
        </w:tc>
        <w:tc>
          <w:tcPr>
            <w:tcW w:type="dxa" w:w="4703"/>
            <w:vAlign w:val="center"/>
          </w:tcPr>
          <w:p>
            <w:pPr>
              <w:spacing w:line="240" w:lineRule="auto"/>
              <w:ind w:firstLine="0" w:left="0"/>
              <w:jc w:val="center"/>
            </w:pPr>
            <w:r>
              <w:rPr>
                <w:rFonts w:ascii="Times New Roman" w:hAnsi="Times New Roman" w:eastAsia="宋体"/>
                <w:b w:val="0"/>
                <w:sz w:val="21"/>
              </w:rPr>
              <w:t>2.234</w:t>
            </w:r>
          </w:p>
        </w:tc>
      </w:tr>
      <w:tr>
        <w:tc>
          <w:tcPr>
            <w:tcW w:type="dxa" w:w="4703"/>
            <w:vAlign w:val="center"/>
          </w:tcPr>
          <w:p>
            <w:pPr>
              <w:spacing w:line="240" w:lineRule="auto"/>
              <w:ind w:firstLine="0" w:left="0"/>
              <w:jc w:val="center"/>
            </w:pPr>
            <w:r>
              <w:rPr>
                <w:rFonts w:ascii="Times New Roman" w:hAnsi="Times New Roman" w:eastAsia="宋体"/>
                <w:b w:val="0"/>
                <w:sz w:val="21"/>
              </w:rPr>
              <w:t>信息比率</w:t>
            </w:r>
          </w:p>
        </w:tc>
        <w:tc>
          <w:tcPr>
            <w:tcW w:type="dxa" w:w="4703"/>
            <w:vAlign w:val="center"/>
          </w:tcPr>
          <w:p>
            <w:pPr>
              <w:spacing w:line="240" w:lineRule="auto"/>
              <w:ind w:firstLine="0" w:left="0"/>
              <w:jc w:val="center"/>
            </w:pPr>
            <w:r>
              <w:rPr>
                <w:rFonts w:ascii="Times New Roman" w:hAnsi="Times New Roman" w:eastAsia="宋体"/>
                <w:b w:val="0"/>
                <w:sz w:val="21"/>
              </w:rPr>
              <w:t>1.819</w:t>
            </w:r>
          </w:p>
        </w:tc>
      </w:tr>
    </w:tbl>
    <w:p>
      <w:pPr>
        <w:spacing w:line="360" w:lineRule="auto"/>
        <w:ind w:firstLine="420"/>
        <w:jc w:val="both"/>
      </w:pPr>
      <w:r>
        <w:rPr>
          <w:rFonts w:ascii="Times New Roman" w:hAnsi="Times New Roman" w:eastAsia="宋体"/>
          <w:sz w:val="21"/>
        </w:rPr>
        <w:t>组合管理全流程（两风险资产加无风险资产，网格搜索最大夏普权重）：最优风险组合中资产1权重0.580；组合年化收益35.95%、波动13.42%；相对随机基准的信息比率为-4.926，为负——固定种子下单次实现未跑赢基准，说明单次模拟结果含偶然性，组合管理的价值在于配置、再平衡（本流程每20日一次，共13次）与归因的流程纪律，而非单次运气的收益。</w:t>
      </w:r>
    </w:p>
    <w:p>
      <w:pPr>
        <w:pStyle w:val="Heading1"/>
      </w:pPr>
      <w:bookmarkStart w:id="15" w:name="_LarkToc00015"/>
      <w:r>
        <w:rPr>
          <w:rFonts w:ascii="Times New Roman" w:hAnsi="Times New Roman" w:eastAsia="黑体"/>
          <w:color w:val="000000"/>
        </w:rPr>
        <w:t>4 讨论</w:t>
      </w:r>
      <w:bookmarkEnd w:id="15"/>
    </w:p>
    <w:p>
      <w:pPr>
        <w:pStyle w:val="Heading2"/>
      </w:pPr>
      <w:bookmarkStart w:id="16" w:name="_LarkToc00016"/>
      <w:r>
        <w:rPr>
          <w:rFonts w:ascii="Times New Roman" w:hAnsi="Times New Roman" w:eastAsia="黑体"/>
          <w:color w:val="000000"/>
        </w:rPr>
        <w:t>4.1 模拟数据的限定</w:t>
      </w:r>
      <w:bookmarkEnd w:id="16"/>
    </w:p>
    <w:p>
      <w:pPr>
        <w:spacing w:line="360" w:lineRule="auto"/>
        <w:ind w:firstLine="420"/>
        <w:jc w:val="both"/>
      </w:pPr>
      <w:r>
        <w:rPr>
          <w:rFonts w:ascii="Times New Roman" w:hAnsi="Times New Roman" w:eastAsia="宋体"/>
          <w:sz w:val="21"/>
        </w:rPr>
        <w:t>本文结论受四方面限定。第一，正态假设：模拟收益服从正态分布，无厚尾、无波动聚集，真实市场中的尾部风险与波动率聚集会显著改变风险度量与定价表现。第二，单次实现：固定种子只产生一条样本路径，自相关检验与绩效指标均存在抽样波动，如第3.3节的自相关0.0858恰处置信区间边界、第3.6节的信息比率为负，统计结论需更长样本或多次模拟取分布。第三，参数教学化：部分场景参数（如日收益均值0.009）为演示而设，量级不可外推。第四，市场结构缺失：模拟数据无交易成本、无流动性约束、无市场微观结构，与真实市场存在本质差异。</w:t>
      </w:r>
    </w:p>
    <w:p>
      <w:pPr>
        <w:pStyle w:val="Heading2"/>
      </w:pPr>
      <w:bookmarkStart w:id="17" w:name="_LarkToc00017"/>
      <w:r>
        <w:rPr>
          <w:rFonts w:ascii="Times New Roman" w:hAnsi="Times New Roman" w:eastAsia="黑体"/>
          <w:color w:val="000000"/>
        </w:rPr>
        <w:t>4.2 方法对实践的启示</w:t>
      </w:r>
      <w:bookmarkEnd w:id="17"/>
    </w:p>
    <w:p>
      <w:pPr>
        <w:spacing w:line="360" w:lineRule="auto"/>
        <w:ind w:firstLine="420"/>
        <w:jc w:val="both"/>
      </w:pPr>
      <w:r>
        <w:rPr>
          <w:rFonts w:ascii="Times New Roman" w:hAnsi="Times New Roman" w:eastAsia="宋体"/>
          <w:sz w:val="21"/>
        </w:rPr>
        <w:t>本次研究沉淀了四条可迁移的方法论。其一，可复现是模拟研究的第一要求，固定种子、明确口径（年化收益乘250、年化波动乘根号250）缺一不可。其二，估值必须给区间而非点值，戈登模型的 r-g 分母杠杆效应决定了增长假设的微小变化即可大幅改变价格。其三，组合管理靠纪律而非预测，定期再平衡控制风险漂移，防止资产上涨导致的权重失衡。其四，绩效评价必须同时看收益、风险与基准，四类指标互补使用，防止被单一收益数字误导。下一步衔接真实市场实证：以真实行情重估 β 与因子载荷、开展因子投资实证、深入期权 Greeks 实操与波动率交易。</w:t>
      </w:r>
    </w:p>
    <w:p>
      <w:pPr>
        <w:pStyle w:val="Heading1"/>
      </w:pPr>
      <w:bookmarkStart w:id="18" w:name="_LarkToc00018"/>
      <w:r>
        <w:rPr>
          <w:rFonts w:ascii="Times New Roman" w:hAnsi="Times New Roman" w:eastAsia="黑体"/>
          <w:color w:val="000000"/>
        </w:rPr>
        <w:t>5 结论</w:t>
      </w:r>
      <w:bookmarkEnd w:id="18"/>
    </w:p>
    <w:p>
      <w:pPr>
        <w:spacing w:line="360" w:lineRule="auto"/>
        <w:ind w:firstLine="420"/>
        <w:jc w:val="both"/>
      </w:pPr>
      <w:r>
        <w:rPr>
          <w:rFonts w:ascii="Times New Roman" w:hAnsi="Times New Roman" w:eastAsia="宋体"/>
          <w:sz w:val="21"/>
        </w:rPr>
        <w:t>第一，十五天工作以模拟数据完整串联了投资学主线（度量、配置、定价、检验、估值、评价），形成了可复现、可提交的研究闭环。第二，核心命题在数据上成立：分散化只能消除非系统性风险（全局最小方差组合波动9.19%低于任一单资产）、只有系统性风险被定价（证券市场线与 α 判定）、多因子把超额收益归因清楚（α 趋近零）、买卖平价成立、久期与凸性刻画利率敏感度。第三，两项反例——可预测性需要显式自相关结构、单次实现下组合信息比率可为负——说明方法论意识比公式本身更重要：模拟研究的关键在于数据生成过程与检验目标一致，实践研究的关键在于区分运气与能力。总体而言，本研究达到金融专业学生水平所需的资产定价与组合管理基础，可衔接因子投资实证与衍生品深入模块。</w:t>
      </w:r>
    </w:p>
    <w:p>
      <w:pPr>
        <w:pStyle w:val="Heading1"/>
      </w:pPr>
      <w:bookmarkStart w:id="19" w:name="_LarkToc00019"/>
      <w:r>
        <w:rPr>
          <w:rFonts w:ascii="Times New Roman" w:hAnsi="Times New Roman" w:eastAsia="黑体"/>
          <w:color w:val="000000"/>
        </w:rPr>
        <w:t>参考文献</w:t>
      </w:r>
      <w:bookmarkEnd w:id="19"/>
    </w:p>
    <w:p>
      <w:pPr>
        <w:spacing w:line="240" w:lineRule="auto"/>
        <w:ind w:left="420" w:hanging="420"/>
      </w:pPr>
      <w:r>
        <w:rPr>
          <w:rFonts w:ascii="Times New Roman" w:hAnsi="Times New Roman" w:eastAsia="宋体"/>
          <w:sz w:val="21"/>
        </w:rPr>
        <w:t>[1] MARKOWITZ H. Portfolio selection[J]. The Journal of Finance, 1952, 7(1): 77-91.</w:t>
      </w:r>
    </w:p>
    <w:p>
      <w:pPr>
        <w:spacing w:line="240" w:lineRule="auto"/>
        <w:ind w:left="420" w:hanging="420"/>
      </w:pPr>
      <w:r>
        <w:rPr>
          <w:rFonts w:ascii="Times New Roman" w:hAnsi="Times New Roman" w:eastAsia="宋体"/>
          <w:sz w:val="21"/>
        </w:rPr>
        <w:t>[2] SHARPE W F. Capital asset prices: a theory of market equilibrium under conditions of risk[J]. The Journal of Finance, 1964, 19(3): 425-442.</w:t>
      </w:r>
    </w:p>
    <w:p>
      <w:pPr>
        <w:spacing w:line="240" w:lineRule="auto"/>
        <w:ind w:left="420" w:hanging="420"/>
      </w:pPr>
      <w:r>
        <w:rPr>
          <w:rFonts w:ascii="Times New Roman" w:hAnsi="Times New Roman" w:eastAsia="宋体"/>
          <w:sz w:val="21"/>
        </w:rPr>
        <w:t>[3] BLACK F, SCHOLES M. The pricing of options and corporate liabilities[J]. Journal of Political Economy, 1973, 81(3): 637-654.</w:t>
      </w:r>
    </w:p>
    <w:p>
      <w:pPr>
        <w:spacing w:line="240" w:lineRule="auto"/>
        <w:ind w:left="420" w:hanging="420"/>
      </w:pPr>
      <w:r>
        <w:rPr>
          <w:rFonts w:ascii="Times New Roman" w:hAnsi="Times New Roman" w:eastAsia="宋体"/>
          <w:sz w:val="21"/>
        </w:rPr>
        <w:t>[4] FAMA E F, FRENCH K R. The cross-section of expected stock returns[J]. The Journal of Finance, 1992, 47(2): 427-465.</w:t>
      </w:r>
    </w:p>
    <w:p>
      <w:pPr>
        <w:spacing w:line="240" w:lineRule="auto"/>
        <w:ind w:left="420" w:hanging="420"/>
      </w:pPr>
      <w:r>
        <w:rPr>
          <w:rFonts w:ascii="Times New Roman" w:hAnsi="Times New Roman" w:eastAsia="宋体"/>
          <w:sz w:val="21"/>
        </w:rPr>
        <w:t>[5] FAMA E F, FRENCH K R. Common risk factors in the returns on stocks and bonds[J]. Journal of Financial Economics, 1993, 33(1): 3-56.</w:t>
      </w:r>
    </w:p>
    <w:p>
      <w:pPr>
        <w:spacing w:line="240" w:lineRule="auto"/>
        <w:ind w:left="420" w:hanging="420"/>
      </w:pPr>
      <w:r>
        <w:rPr>
          <w:rFonts w:ascii="Times New Roman" w:hAnsi="Times New Roman" w:eastAsia="宋体"/>
          <w:sz w:val="21"/>
        </w:rPr>
        <w:t>[6] BODIE Z, KANE A, MARCUS A J. Investments[M]. 10th ed. New York: McGraw-Hill Education, 2014.</w:t>
      </w:r>
    </w:p>
    <w:p>
      <w:pPr>
        <w:spacing w:line="240" w:lineRule="auto"/>
        <w:ind w:left="420" w:hanging="420"/>
      </w:pPr>
      <w:r>
        <w:rPr>
          <w:rFonts w:ascii="Times New Roman" w:hAnsi="Times New Roman" w:eastAsia="宋体"/>
          <w:sz w:val="21"/>
        </w:rPr>
        <w:t>[7] 约翰·赫尔. 期权、期货及其他衍生产品: 原书第9版[M]. 王勇, 索吾林, 译. 北京: 机械工业出版社, 2014.</w:t>
      </w:r>
    </w:p>
    <w:p>
      <w:pPr>
        <w:pStyle w:val="Heading1"/>
      </w:pPr>
      <w:bookmarkStart w:id="20" w:name="_LarkToc00020"/>
      <w:r>
        <w:rPr>
          <w:rFonts w:ascii="Times New Roman" w:hAnsi="Times New Roman" w:eastAsia="黑体"/>
          <w:color w:val="000000"/>
        </w:rPr>
        <w:t>附录A 核心代码</w:t>
      </w:r>
      <w:bookmarkEnd w:id="20"/>
    </w:p>
    <w:p>
      <w:pPr>
        <w:spacing w:before="80" w:after="40" w:line="288" w:lineRule="auto"/>
      </w:pPr>
      <w:r>
        <w:rPr>
          <w:rFonts w:ascii="Times New Roman" w:hAnsi="Times New Roman" w:eastAsia="黑体"/>
          <w:b/>
          <w:sz w:val="21"/>
        </w:rPr>
        <w:t>代码A.1 风险度量（Day1，种子2026）</w:t>
      </w:r>
    </w:p>
    <w:p>
      <w:pPr>
        <w:spacing w:line="264" w:lineRule="auto"/>
        <w:ind w:firstLine="0" w:left="120"/>
        <w:shd w:val="clear" w:fill="F2F2F2"/>
      </w:pPr>
      <w:r>
        <w:rPr>
          <w:rFonts w:ascii="Consolas" w:hAnsi="Consolas"/>
          <w:sz w:val="18"/>
        </w:rPr>
        <w:t>import numpy as np</w:t>
        <w:br/>
      </w:r>
      <w:r>
        <w:rPr>
          <w:rFonts w:ascii="Consolas" w:hAnsi="Consolas"/>
          <w:sz w:val="18"/>
        </w:rPr>
        <w:t>rng = np.random.default_rng(2026)</w:t>
        <w:br/>
      </w:r>
      <w:r>
        <w:rPr>
          <w:rFonts w:ascii="Consolas" w:hAnsi="Consolas"/>
          <w:sz w:val="18"/>
        </w:rPr>
        <w:t>prices = 100 * np.exp(np.cumsum(rng.normal(0.0005, 0.02, 250)))</w:t>
        <w:br/>
      </w:r>
      <w:r>
        <w:rPr>
          <w:rFonts w:ascii="Consolas" w:hAnsi="Consolas"/>
          <w:sz w:val="18"/>
        </w:rPr>
        <w:t>rets = np.diff(prices) / prices[:-1]</w:t>
        <w:br/>
      </w:r>
      <w:r>
        <w:rPr>
          <w:rFonts w:ascii="Consolas" w:hAnsi="Consolas"/>
          <w:sz w:val="18"/>
        </w:rPr>
        <w:t>def annualize(ret, n=250): return ret.mean() * n</w:t>
        <w:br/>
      </w:r>
      <w:r>
        <w:rPr>
          <w:rFonts w:ascii="Consolas" w:hAnsi="Consolas"/>
          <w:sz w:val="18"/>
        </w:rPr>
        <w:t>def ann_vol(ret, n=250): return ret.std(ddof=1) * np.sqrt(n)</w:t>
        <w:br/>
      </w:r>
      <w:r>
        <w:rPr>
          <w:rFonts w:ascii="Consolas" w:hAnsi="Consolas"/>
          <w:sz w:val="18"/>
        </w:rPr>
        <w:t>def downside_dev(ret, target=0.0):</w:t>
        <w:br/>
      </w:r>
      <w:r>
        <w:rPr>
          <w:rFonts w:ascii="Consolas" w:hAnsi="Consolas"/>
          <w:sz w:val="18"/>
        </w:rPr>
        <w:t xml:space="preserve">    neg = ret[ret &lt; target]; return np.sqrt(np.mean(neg**2))</w:t>
        <w:br/>
      </w:r>
      <w:r>
        <w:rPr>
          <w:rFonts w:ascii="Consolas" w:hAnsi="Consolas"/>
          <w:sz w:val="18"/>
        </w:rPr>
        <w:t>def max_drawdown(p):</w:t>
        <w:br/>
      </w:r>
      <w:r>
        <w:rPr>
          <w:rFonts w:ascii="Consolas" w:hAnsi="Consolas"/>
          <w:sz w:val="18"/>
        </w:rPr>
        <w:t xml:space="preserve">    return np.min(p / np.maximum.accumulate(p) - 1)</w:t>
        <w:br/>
      </w:r>
      <w:r>
        <w:rPr>
          <w:rFonts w:ascii="Consolas" w:hAnsi="Consolas"/>
          <w:sz w:val="18"/>
        </w:rPr>
        <w:t>print(annualize(rets), ann_vol(rets), downside_dev(rets), max_drawdown(prices))</w:t>
      </w:r>
    </w:p>
    <w:p>
      <w:pPr>
        <w:spacing w:before="80" w:after="40" w:line="288" w:lineRule="auto"/>
      </w:pPr>
      <w:r>
        <w:rPr>
          <w:rFonts w:ascii="Times New Roman" w:hAnsi="Times New Roman" w:eastAsia="黑体"/>
          <w:b/>
          <w:sz w:val="21"/>
        </w:rPr>
        <w:t>代码A.2 最优配置与资本配置线（Day2）</w:t>
      </w:r>
    </w:p>
    <w:p>
      <w:pPr>
        <w:spacing w:line="264" w:lineRule="auto"/>
        <w:ind w:firstLine="0" w:left="120"/>
        <w:shd w:val="clear" w:fill="F2F2F2"/>
      </w:pPr>
      <w:r>
        <w:rPr>
          <w:rFonts w:ascii="Consolas" w:hAnsi="Consolas"/>
          <w:sz w:val="18"/>
        </w:rPr>
        <w:t>rf, E_rp, sig_p, A = 0.03, 0.10, 0.18, 4.0</w:t>
        <w:br/>
      </w:r>
      <w:r>
        <w:rPr>
          <w:rFonts w:ascii="Consolas" w:hAnsi="Consolas"/>
          <w:sz w:val="18"/>
        </w:rPr>
        <w:t>y_star = (E_rp - rf) / (A * sig_p**2)</w:t>
        <w:br/>
      </w:r>
      <w:r>
        <w:rPr>
          <w:rFonts w:ascii="Consolas" w:hAnsi="Consolas"/>
          <w:sz w:val="18"/>
        </w:rPr>
        <w:t>E_rc = rf + y_star * (E_rp - rf); sig_c = y_star * sig_p</w:t>
        <w:br/>
      </w:r>
      <w:r>
        <w:rPr>
          <w:rFonts w:ascii="Consolas" w:hAnsi="Consolas"/>
          <w:sz w:val="18"/>
        </w:rPr>
        <w:t>sharpe = (E_rp - rf) / sig_p</w:t>
        <w:br/>
      </w:r>
      <w:r>
        <w:rPr>
          <w:rFonts w:ascii="Consolas" w:hAnsi="Consolas"/>
          <w:sz w:val="18"/>
        </w:rPr>
        <w:t>print(y_star, E_rc, sig_c, sharpe)</w:t>
      </w:r>
    </w:p>
    <w:p>
      <w:pPr>
        <w:spacing w:before="80" w:after="40" w:line="288" w:lineRule="auto"/>
      </w:pPr>
      <w:r>
        <w:rPr>
          <w:rFonts w:ascii="Times New Roman" w:hAnsi="Times New Roman" w:eastAsia="黑体"/>
          <w:b/>
          <w:sz w:val="21"/>
        </w:rPr>
        <w:t>代码A.3 全局最小方差组合与切点组合（Day3）</w:t>
      </w:r>
    </w:p>
    <w:p>
      <w:pPr>
        <w:spacing w:line="264" w:lineRule="auto"/>
        <w:ind w:firstLine="0" w:left="120"/>
        <w:shd w:val="clear" w:fill="F2F2F2"/>
      </w:pPr>
      <w:r>
        <w:rPr>
          <w:rFonts w:ascii="Consolas" w:hAnsi="Consolas"/>
          <w:sz w:val="18"/>
        </w:rPr>
        <w:t>import numpy as np</w:t>
        <w:br/>
      </w:r>
      <w:r>
        <w:rPr>
          <w:rFonts w:ascii="Consolas" w:hAnsi="Consolas"/>
          <w:sz w:val="18"/>
        </w:rPr>
        <w:t>from scipy.optimize import minimize</w:t>
        <w:br/>
      </w:r>
      <w:r>
        <w:rPr>
          <w:rFonts w:ascii="Consolas" w:hAnsi="Consolas"/>
          <w:sz w:val="18"/>
        </w:rPr>
        <w:t>mu = np.array([0.08, 0.12, 0.15])</w:t>
        <w:br/>
      </w:r>
      <w:r>
        <w:rPr>
          <w:rFonts w:ascii="Consolas" w:hAnsi="Consolas"/>
          <w:sz w:val="18"/>
        </w:rPr>
        <w:t>cov = np.array([[0.10**2, 0.005, 0.002],</w:t>
        <w:br/>
      </w:r>
      <w:r>
        <w:rPr>
          <w:rFonts w:ascii="Consolas" w:hAnsi="Consolas"/>
          <w:sz w:val="18"/>
        </w:rPr>
        <w:t xml:space="preserve">                [0.005, 0.18**2, 0.008],</w:t>
        <w:br/>
      </w:r>
      <w:r>
        <w:rPr>
          <w:rFonts w:ascii="Consolas" w:hAnsi="Consolas"/>
          <w:sz w:val="18"/>
        </w:rPr>
        <w:t xml:space="preserve">                [0.002, 0.008, 0.22**2]])</w:t>
        <w:br/>
      </w:r>
      <w:r>
        <w:rPr>
          <w:rFonts w:ascii="Consolas" w:hAnsi="Consolas"/>
          <w:sz w:val="18"/>
        </w:rPr>
        <w:t>def stats(w):</w:t>
        <w:br/>
      </w:r>
      <w:r>
        <w:rPr>
          <w:rFonts w:ascii="Consolas" w:hAnsi="Consolas"/>
          <w:sz w:val="18"/>
        </w:rPr>
        <w:t xml:space="preserve">    w = np.asarray(w); return w @ mu, w @ cov @ w</w:t>
        <w:br/>
      </w:r>
      <w:r>
        <w:rPr>
          <w:rFonts w:ascii="Consolas" w:hAnsi="Consolas"/>
          <w:sz w:val="18"/>
        </w:rPr>
        <w:t>cons = ({'type': 'eq', 'fun': lambda w: w.sum() - 1}); bnds = [(0, 1)] * 3</w:t>
        <w:br/>
      </w:r>
      <w:r>
        <w:rPr>
          <w:rFonts w:ascii="Consolas" w:hAnsi="Consolas"/>
          <w:sz w:val="18"/>
        </w:rPr>
        <w:t>w_gmv = minimize(lambda w: stats(w)[1], [1/3]*3, bounds=bnds, constraints=cons).x</w:t>
        <w:br/>
      </w:r>
      <w:r>
        <w:rPr>
          <w:rFonts w:ascii="Consolas" w:hAnsi="Consolas"/>
          <w:sz w:val="18"/>
        </w:rPr>
        <w:t>def neg_sharpe(w):</w:t>
        <w:br/>
      </w:r>
      <w:r>
        <w:rPr>
          <w:rFonts w:ascii="Consolas" w:hAnsi="Consolas"/>
          <w:sz w:val="18"/>
        </w:rPr>
        <w:t xml:space="preserve">    er, var = stats(w); return -(er - 0.03) / np.sqrt(var)</w:t>
        <w:br/>
      </w:r>
      <w:r>
        <w:rPr>
          <w:rFonts w:ascii="Consolas" w:hAnsi="Consolas"/>
          <w:sz w:val="18"/>
        </w:rPr>
        <w:t>w_tan = minimize(neg_sharpe, [1/3]*3, bounds=bnds, constraints=cons).x</w:t>
        <w:br/>
      </w:r>
      <w:r>
        <w:rPr>
          <w:rFonts w:ascii="Consolas" w:hAnsi="Consolas"/>
          <w:sz w:val="18"/>
        </w:rPr>
        <w:t>print(w_gmv, np.sqrt(stats(w_gmv)[1]), w_tan, -neg_sharpe(w_tan))</w:t>
      </w:r>
    </w:p>
    <w:p>
      <w:pPr>
        <w:spacing w:before="80" w:after="40" w:line="288" w:lineRule="auto"/>
      </w:pPr>
      <w:r>
        <w:rPr>
          <w:rFonts w:ascii="Times New Roman" w:hAnsi="Times New Roman" w:eastAsia="黑体"/>
          <w:b/>
          <w:sz w:val="21"/>
        </w:rPr>
        <w:t>代码A.4 估计 β 与相关系数（Day4，种子7）</w:t>
      </w:r>
    </w:p>
    <w:p>
      <w:pPr>
        <w:spacing w:line="264" w:lineRule="auto"/>
        <w:ind w:firstLine="0" w:left="120"/>
        <w:shd w:val="clear" w:fill="F2F2F2"/>
      </w:pPr>
      <w:r>
        <w:rPr>
          <w:rFonts w:ascii="Consolas" w:hAnsi="Consolas"/>
          <w:sz w:val="18"/>
        </w:rPr>
        <w:t>import numpy as np</w:t>
        <w:br/>
      </w:r>
      <w:r>
        <w:rPr>
          <w:rFonts w:ascii="Consolas" w:hAnsi="Consolas"/>
          <w:sz w:val="18"/>
        </w:rPr>
        <w:t>rng = np.random.default_rng(7)</w:t>
        <w:br/>
      </w:r>
      <w:r>
        <w:rPr>
          <w:rFonts w:ascii="Consolas" w:hAnsi="Consolas"/>
          <w:sz w:val="18"/>
        </w:rPr>
        <w:t>rm = rng.normal(0.01, 0.02, 200)</w:t>
        <w:br/>
      </w:r>
      <w:r>
        <w:rPr>
          <w:rFonts w:ascii="Consolas" w:hAnsi="Consolas"/>
          <w:sz w:val="18"/>
        </w:rPr>
        <w:t>ri = 0.008 + 1.2 * rm + rng.normal(0, 0.015, 200)</w:t>
        <w:br/>
      </w:r>
      <w:r>
        <w:rPr>
          <w:rFonts w:ascii="Consolas" w:hAnsi="Consolas"/>
          <w:sz w:val="18"/>
        </w:rPr>
        <w:t>beta = np.cov(ri, rm)[0, 1] / np.var(rm)</w:t>
        <w:br/>
      </w:r>
      <w:r>
        <w:rPr>
          <w:rFonts w:ascii="Consolas" w:hAnsi="Consolas"/>
          <w:sz w:val="18"/>
        </w:rPr>
        <w:t>corr = np.corrcoef(ri, rm)[0, 1]</w:t>
        <w:br/>
      </w:r>
      <w:r>
        <w:rPr>
          <w:rFonts w:ascii="Consolas" w:hAnsi="Consolas"/>
          <w:sz w:val="18"/>
        </w:rPr>
        <w:t>print(beta, corr)</w:t>
      </w:r>
    </w:p>
    <w:p>
      <w:pPr>
        <w:spacing w:before="80" w:after="40" w:line="288" w:lineRule="auto"/>
      </w:pPr>
      <w:r>
        <w:rPr>
          <w:rFonts w:ascii="Times New Roman" w:hAnsi="Times New Roman" w:eastAsia="黑体"/>
          <w:b/>
          <w:sz w:val="21"/>
        </w:rPr>
        <w:t>代码A.5 证券市场线与 α（Day5）</w:t>
      </w:r>
    </w:p>
    <w:p>
      <w:pPr>
        <w:spacing w:line="264" w:lineRule="auto"/>
        <w:ind w:firstLine="0" w:left="120"/>
        <w:shd w:val="clear" w:fill="F2F2F2"/>
      </w:pPr>
      <w:r>
        <w:rPr>
          <w:rFonts w:ascii="Consolas" w:hAnsi="Consolas"/>
          <w:sz w:val="18"/>
        </w:rPr>
        <w:t>rf, E_rm = 0.03, 0.10</w:t>
        <w:br/>
      </w:r>
      <w:r>
        <w:rPr>
          <w:rFonts w:ascii="Consolas" w:hAnsi="Consolas"/>
          <w:sz w:val="18"/>
        </w:rPr>
        <w:t>def sml(beta): return rf + beta * (E_rm - rf)</w:t>
        <w:br/>
      </w:r>
      <w:r>
        <w:rPr>
          <w:rFonts w:ascii="Consolas" w:hAnsi="Consolas"/>
          <w:sz w:val="18"/>
        </w:rPr>
        <w:t>print(sml(0.5), sml(1.0), sml(1.5))</w:t>
        <w:br/>
      </w:r>
      <w:r>
        <w:rPr>
          <w:rFonts w:ascii="Consolas" w:hAnsi="Consolas"/>
          <w:sz w:val="18"/>
        </w:rPr>
        <w:t>alpha = 0.09 - sml(0.8); print(alpha)</w:t>
      </w:r>
    </w:p>
    <w:p>
      <w:pPr>
        <w:spacing w:before="80" w:after="40" w:line="288" w:lineRule="auto"/>
      </w:pPr>
      <w:r>
        <w:rPr>
          <w:rFonts w:ascii="Times New Roman" w:hAnsi="Times New Roman" w:eastAsia="黑体"/>
          <w:b/>
          <w:sz w:val="21"/>
        </w:rPr>
        <w:t>代码A.6 市场模型回归估计 α 与 β（Day6，种子11）</w:t>
      </w:r>
    </w:p>
    <w:p>
      <w:pPr>
        <w:spacing w:line="264" w:lineRule="auto"/>
        <w:ind w:firstLine="0" w:left="120"/>
        <w:shd w:val="clear" w:fill="F2F2F2"/>
      </w:pPr>
      <w:r>
        <w:rPr>
          <w:rFonts w:ascii="Consolas" w:hAnsi="Consolas"/>
          <w:sz w:val="18"/>
        </w:rPr>
        <w:t>import numpy as np</w:t>
        <w:br/>
      </w:r>
      <w:r>
        <w:rPr>
          <w:rFonts w:ascii="Consolas" w:hAnsi="Consolas"/>
          <w:sz w:val="18"/>
        </w:rPr>
        <w:t>rng = np.random.default_rng(11)</w:t>
        <w:br/>
      </w:r>
      <w:r>
        <w:rPr>
          <w:rFonts w:ascii="Consolas" w:hAnsi="Consolas"/>
          <w:sz w:val="18"/>
        </w:rPr>
        <w:t>rm = rng.normal(0.01, 0.02, 250)</w:t>
        <w:br/>
      </w:r>
      <w:r>
        <w:rPr>
          <w:rFonts w:ascii="Consolas" w:hAnsi="Consolas"/>
          <w:sz w:val="18"/>
        </w:rPr>
        <w:t>ri = 0.002 + 0.9 * rm + rng.normal(0, 0.012, 250)</w:t>
        <w:br/>
      </w:r>
      <w:r>
        <w:rPr>
          <w:rFonts w:ascii="Consolas" w:hAnsi="Consolas"/>
          <w:sz w:val="18"/>
        </w:rPr>
        <w:t>X = np.column_stack([np.ones_like(rm), rm])</w:t>
        <w:br/>
      </w:r>
      <w:r>
        <w:rPr>
          <w:rFonts w:ascii="Consolas" w:hAnsi="Consolas"/>
          <w:sz w:val="18"/>
        </w:rPr>
        <w:t>bhat = np.linalg.lstsq(X, ri, rcond=None)[0]</w:t>
        <w:br/>
      </w:r>
      <w:r>
        <w:rPr>
          <w:rFonts w:ascii="Consolas" w:hAnsi="Consolas"/>
          <w:sz w:val="18"/>
        </w:rPr>
        <w:t>resid = ri - X @ bhat</w:t>
        <w:br/>
      </w:r>
      <w:r>
        <w:rPr>
          <w:rFonts w:ascii="Consolas" w:hAnsi="Consolas"/>
          <w:sz w:val="18"/>
        </w:rPr>
        <w:t>print(bhat[0], bhat[1], resid.std(ddof=2))</w:t>
      </w:r>
    </w:p>
    <w:p>
      <w:pPr>
        <w:spacing w:before="80" w:after="40" w:line="288" w:lineRule="auto"/>
      </w:pPr>
      <w:r>
        <w:rPr>
          <w:rFonts w:ascii="Times New Roman" w:hAnsi="Times New Roman" w:eastAsia="黑体"/>
          <w:b/>
          <w:sz w:val="21"/>
        </w:rPr>
        <w:t>代码A.7 单因子模型与 APT 定价（Day7，种子13）</w:t>
      </w:r>
    </w:p>
    <w:p>
      <w:pPr>
        <w:spacing w:line="264" w:lineRule="auto"/>
        <w:ind w:firstLine="0" w:left="120"/>
        <w:shd w:val="clear" w:fill="F2F2F2"/>
      </w:pPr>
      <w:r>
        <w:rPr>
          <w:rFonts w:ascii="Consolas" w:hAnsi="Consolas"/>
          <w:sz w:val="18"/>
        </w:rPr>
        <w:t>import numpy as np</w:t>
        <w:br/>
      </w:r>
      <w:r>
        <w:rPr>
          <w:rFonts w:ascii="Consolas" w:hAnsi="Consolas"/>
          <w:sz w:val="18"/>
        </w:rPr>
        <w:t>rng = np.random.default_rng(13)</w:t>
        <w:br/>
      </w:r>
      <w:r>
        <w:rPr>
          <w:rFonts w:ascii="Consolas" w:hAnsi="Consolas"/>
          <w:sz w:val="18"/>
        </w:rPr>
        <w:t>F = rng.normal(0, 1, 300)</w:t>
        <w:br/>
      </w:r>
      <w:r>
        <w:rPr>
          <w:rFonts w:ascii="Consolas" w:hAnsi="Consolas"/>
          <w:sz w:val="18"/>
        </w:rPr>
        <w:t>r = 0.02 + 0.8 * F + rng.normal(0, 0.02, 300)</w:t>
        <w:br/>
      </w:r>
      <w:r>
        <w:rPr>
          <w:rFonts w:ascii="Consolas" w:hAnsi="Consolas"/>
          <w:sz w:val="18"/>
        </w:rPr>
        <w:t>X = np.column_stack([np.ones_like(F), F])</w:t>
        <w:br/>
      </w:r>
      <w:r>
        <w:rPr>
          <w:rFonts w:ascii="Consolas" w:hAnsi="Consolas"/>
          <w:sz w:val="18"/>
        </w:rPr>
        <w:t>coef = np.linalg.lstsq(X, r, rcond=None)[0]</w:t>
        <w:br/>
      </w:r>
      <w:r>
        <w:rPr>
          <w:rFonts w:ascii="Consolas" w:hAnsi="Consolas"/>
          <w:sz w:val="18"/>
        </w:rPr>
        <w:t>E_r = 0.02 + coef[1] * 0.03</w:t>
        <w:br/>
      </w:r>
      <w:r>
        <w:rPr>
          <w:rFonts w:ascii="Consolas" w:hAnsi="Consolas"/>
          <w:sz w:val="18"/>
        </w:rPr>
        <w:t>print(coef[1], (r - X @ coef).std(ddof=2), E_r)</w:t>
      </w:r>
    </w:p>
    <w:p>
      <w:pPr>
        <w:spacing w:before="80" w:after="40" w:line="288" w:lineRule="auto"/>
      </w:pPr>
      <w:r>
        <w:rPr>
          <w:rFonts w:ascii="Times New Roman" w:hAnsi="Times New Roman" w:eastAsia="黑体"/>
          <w:b/>
          <w:sz w:val="21"/>
        </w:rPr>
        <w:t>代码A.8 Fama-French 三因子回归（Day8，种子17）</w:t>
      </w:r>
    </w:p>
    <w:p>
      <w:pPr>
        <w:spacing w:line="264" w:lineRule="auto"/>
        <w:ind w:firstLine="0" w:left="120"/>
        <w:shd w:val="clear" w:fill="F2F2F2"/>
      </w:pPr>
      <w:r>
        <w:rPr>
          <w:rFonts w:ascii="Consolas" w:hAnsi="Consolas"/>
          <w:sz w:val="18"/>
        </w:rPr>
        <w:t>import numpy as np</w:t>
        <w:br/>
      </w:r>
      <w:r>
        <w:rPr>
          <w:rFonts w:ascii="Consolas" w:hAnsi="Consolas"/>
          <w:sz w:val="18"/>
        </w:rPr>
        <w:t>rng = np.random.default_rng(17)</w:t>
        <w:br/>
      </w:r>
      <w:r>
        <w:rPr>
          <w:rFonts w:ascii="Consolas" w:hAnsi="Consolas"/>
          <w:sz w:val="18"/>
        </w:rPr>
        <w:t>n = 500</w:t>
        <w:br/>
      </w:r>
      <w:r>
        <w:rPr>
          <w:rFonts w:ascii="Consolas" w:hAnsi="Consolas"/>
          <w:sz w:val="18"/>
        </w:rPr>
        <w:t>MKT = rng.normal(0.008, 0.04, n)</w:t>
        <w:br/>
      </w:r>
      <w:r>
        <w:rPr>
          <w:rFonts w:ascii="Consolas" w:hAnsi="Consolas"/>
          <w:sz w:val="18"/>
        </w:rPr>
        <w:t>SMB = rng.normal(0.002, 0.02, n)</w:t>
        <w:br/>
      </w:r>
      <w:r>
        <w:rPr>
          <w:rFonts w:ascii="Consolas" w:hAnsi="Consolas"/>
          <w:sz w:val="18"/>
        </w:rPr>
        <w:t>HML = rng.normal(0.003, 0.02, n)</w:t>
        <w:br/>
      </w:r>
      <w:r>
        <w:rPr>
          <w:rFonts w:ascii="Consolas" w:hAnsi="Consolas"/>
          <w:sz w:val="18"/>
        </w:rPr>
        <w:t>r = 0.001 + 1.0*MKT + 0.3*SMB + 0.5*HML + rng.normal(0, 0.01, n)</w:t>
        <w:br/>
      </w:r>
      <w:r>
        <w:rPr>
          <w:rFonts w:ascii="Consolas" w:hAnsi="Consolas"/>
          <w:sz w:val="18"/>
        </w:rPr>
        <w:t>X = np.column_stack([np.ones(n), MKT, SMB, HML])</w:t>
        <w:br/>
      </w:r>
      <w:r>
        <w:rPr>
          <w:rFonts w:ascii="Consolas" w:hAnsi="Consolas"/>
          <w:sz w:val="18"/>
        </w:rPr>
        <w:t>coef = np.linalg.lstsq(X, r, rcond=None)[0]</w:t>
        <w:br/>
      </w:r>
      <w:r>
        <w:rPr>
          <w:rFonts w:ascii="Consolas" w:hAnsi="Consolas"/>
          <w:sz w:val="18"/>
        </w:rPr>
        <w:t>print(coef)</w:t>
      </w:r>
    </w:p>
    <w:p>
      <w:pPr>
        <w:spacing w:before="80" w:after="40" w:line="288" w:lineRule="auto"/>
      </w:pPr>
      <w:r>
        <w:rPr>
          <w:rFonts w:ascii="Times New Roman" w:hAnsi="Times New Roman" w:eastAsia="黑体"/>
          <w:b/>
          <w:sz w:val="21"/>
        </w:rPr>
        <w:t>代码A.9 弱式有效检验：滞后1期自相关（Day9，种子23）</w:t>
      </w:r>
    </w:p>
    <w:p>
      <w:pPr>
        <w:spacing w:line="264" w:lineRule="auto"/>
        <w:ind w:firstLine="0" w:left="120"/>
        <w:shd w:val="clear" w:fill="F2F2F2"/>
      </w:pPr>
      <w:r>
        <w:rPr>
          <w:rFonts w:ascii="Consolas" w:hAnsi="Consolas"/>
          <w:sz w:val="18"/>
        </w:rPr>
        <w:t>import numpy as np</w:t>
        <w:br/>
      </w:r>
      <w:r>
        <w:rPr>
          <w:rFonts w:ascii="Consolas" w:hAnsi="Consolas"/>
          <w:sz w:val="18"/>
        </w:rPr>
        <w:t>rng = np.random.default_rng(23)</w:t>
        <w:br/>
      </w:r>
      <w:r>
        <w:rPr>
          <w:rFonts w:ascii="Consolas" w:hAnsi="Consolas"/>
          <w:sz w:val="18"/>
        </w:rPr>
        <w:t>rets = rng.normal(0.0004, 0.015, 500)</w:t>
        <w:br/>
      </w:r>
      <w:r>
        <w:rPr>
          <w:rFonts w:ascii="Consolas" w:hAnsi="Consolas"/>
          <w:sz w:val="18"/>
        </w:rPr>
        <w:t>lag1 = np.corrcoef(rets[:-1], rets[1:])[0, 1]</w:t>
        <w:br/>
      </w:r>
      <w:r>
        <w:rPr>
          <w:rFonts w:ascii="Consolas" w:hAnsi="Consolas"/>
          <w:sz w:val="18"/>
        </w:rPr>
        <w:t>e = rng.normal(0, 0.01, 500)</w:t>
        <w:br/>
      </w:r>
      <w:r>
        <w:rPr>
          <w:rFonts w:ascii="Consolas" w:hAnsi="Consolas"/>
          <w:sz w:val="18"/>
        </w:rPr>
        <w:t>y = np.zeros(500); y[0] = e[0]</w:t>
        <w:br/>
      </w:r>
      <w:r>
        <w:rPr>
          <w:rFonts w:ascii="Consolas" w:hAnsi="Consolas"/>
          <w:sz w:val="18"/>
        </w:rPr>
        <w:t>for i in range(1, 500): y[i] = 0.5 * y[i-1] + e[i]</w:t>
        <w:br/>
      </w:r>
      <w:r>
        <w:rPr>
          <w:rFonts w:ascii="Consolas" w:hAnsi="Consolas"/>
          <w:sz w:val="18"/>
        </w:rPr>
        <w:t>print(lag1, np.corrcoef(y[:-1], y[1:])[0, 1])</w:t>
      </w:r>
    </w:p>
    <w:p>
      <w:pPr>
        <w:spacing w:before="80" w:after="40" w:line="288" w:lineRule="auto"/>
      </w:pPr>
      <w:r>
        <w:rPr>
          <w:rFonts w:ascii="Times New Roman" w:hAnsi="Times New Roman" w:eastAsia="黑体"/>
          <w:b/>
          <w:sz w:val="21"/>
        </w:rPr>
        <w:t>代码A.10 债券价格、久期与凸性（Day10）</w:t>
      </w:r>
    </w:p>
    <w:p>
      <w:pPr>
        <w:spacing w:line="264" w:lineRule="auto"/>
        <w:ind w:firstLine="0" w:left="120"/>
        <w:shd w:val="clear" w:fill="F2F2F2"/>
      </w:pPr>
      <w:r>
        <w:rPr>
          <w:rFonts w:ascii="Consolas" w:hAnsi="Consolas"/>
          <w:sz w:val="18"/>
        </w:rPr>
        <w:t>import numpy as np</w:t>
        <w:br/>
      </w:r>
      <w:r>
        <w:rPr>
          <w:rFonts w:ascii="Consolas" w:hAnsi="Consolas"/>
          <w:sz w:val="18"/>
        </w:rPr>
        <w:t>def bond_price(c, y, T, F=100):</w:t>
        <w:br/>
      </w:r>
      <w:r>
        <w:rPr>
          <w:rFonts w:ascii="Consolas" w:hAnsi="Consolas"/>
          <w:sz w:val="18"/>
        </w:rPr>
        <w:t xml:space="preserve">    t = np.arange(1, T+1); return np.sum(c*F/(1+y)**t) + F/(1+y)**T</w:t>
        <w:br/>
      </w:r>
      <w:r>
        <w:rPr>
          <w:rFonts w:ascii="Consolas" w:hAnsi="Consolas"/>
          <w:sz w:val="18"/>
        </w:rPr>
        <w:t>def duration(c, y, T, F=100):</w:t>
        <w:br/>
      </w:r>
      <w:r>
        <w:rPr>
          <w:rFonts w:ascii="Consolas" w:hAnsi="Consolas"/>
          <w:sz w:val="18"/>
        </w:rPr>
        <w:t xml:space="preserve">    t = np.arange(1, T+1); pv = c*F/(1+y)**t; pvF = F/(1+y)**T; P = pv.sum() + pvF</w:t>
        <w:br/>
      </w:r>
      <w:r>
        <w:rPr>
          <w:rFonts w:ascii="Consolas" w:hAnsi="Consolas"/>
          <w:sz w:val="18"/>
        </w:rPr>
        <w:t xml:space="preserve">    return (t @ pv + T*pvF) / P</w:t>
        <w:br/>
      </w:r>
      <w:r>
        <w:rPr>
          <w:rFonts w:ascii="Consolas" w:hAnsi="Consolas"/>
          <w:sz w:val="18"/>
        </w:rPr>
        <w:t>def convexity(c, y, T, F=100):</w:t>
        <w:br/>
      </w:r>
      <w:r>
        <w:rPr>
          <w:rFonts w:ascii="Consolas" w:hAnsi="Consolas"/>
          <w:sz w:val="18"/>
        </w:rPr>
        <w:t xml:space="preserve">    t = np.arange(1, T+1); pv = c*F/(1+y)**t; pvF = F/(1+y)**T; P = pv.sum() + pvF</w:t>
        <w:br/>
      </w:r>
      <w:r>
        <w:rPr>
          <w:rFonts w:ascii="Consolas" w:hAnsi="Consolas"/>
          <w:sz w:val="18"/>
        </w:rPr>
        <w:t xml:space="preserve">    return (t*(t+1) @ pv + T*(T+1)*pvF) / (P*(1+y)**2)</w:t>
        <w:br/>
      </w:r>
      <w:r>
        <w:rPr>
          <w:rFonts w:ascii="Consolas" w:hAnsi="Consolas"/>
          <w:sz w:val="18"/>
        </w:rPr>
        <w:t>c, y, T = 0.05, 0.04, 10</w:t>
        <w:br/>
      </w:r>
      <w:r>
        <w:rPr>
          <w:rFonts w:ascii="Consolas" w:hAnsi="Consolas"/>
          <w:sz w:val="18"/>
        </w:rPr>
        <w:t>print(bond_price(c,y,T), duration(c,y,T), convexity(c,y,T), -duration(c,y,T)*0.01)</w:t>
      </w:r>
    </w:p>
    <w:p>
      <w:pPr>
        <w:spacing w:before="80" w:after="40" w:line="288" w:lineRule="auto"/>
      </w:pPr>
      <w:r>
        <w:rPr>
          <w:rFonts w:ascii="Times New Roman" w:hAnsi="Times New Roman" w:eastAsia="黑体"/>
          <w:b/>
          <w:sz w:val="21"/>
        </w:rPr>
        <w:t>代码A.11 戈登增长模型与敏感性（Day11）</w:t>
      </w:r>
    </w:p>
    <w:p>
      <w:pPr>
        <w:spacing w:line="264" w:lineRule="auto"/>
        <w:ind w:firstLine="0" w:left="120"/>
        <w:shd w:val="clear" w:fill="F2F2F2"/>
      </w:pPr>
      <w:r>
        <w:rPr>
          <w:rFonts w:ascii="Consolas" w:hAnsi="Consolas"/>
          <w:sz w:val="18"/>
        </w:rPr>
        <w:t>def gordon(D1, r, g): return D1 / (r - g)</w:t>
        <w:br/>
      </w:r>
      <w:r>
        <w:rPr>
          <w:rFonts w:ascii="Consolas" w:hAnsi="Consolas"/>
          <w:sz w:val="18"/>
        </w:rPr>
        <w:t>for gg in [0.03, 0.05, 0.07]: print(gg, gordon(2.5, 0.10, gg))</w:t>
        <w:br/>
      </w:r>
      <w:r>
        <w:rPr>
          <w:rFonts w:ascii="Consolas" w:hAnsi="Consolas"/>
          <w:sz w:val="18"/>
        </w:rPr>
        <w:t>print(4.0 * 15.0)</w:t>
      </w:r>
    </w:p>
    <w:p>
      <w:pPr>
        <w:spacing w:before="80" w:after="40" w:line="288" w:lineRule="auto"/>
      </w:pPr>
      <w:r>
        <w:rPr>
          <w:rFonts w:ascii="Times New Roman" w:hAnsi="Times New Roman" w:eastAsia="黑体"/>
          <w:b/>
          <w:sz w:val="21"/>
        </w:rPr>
        <w:t>代码A.12 二叉树与 Black-Scholes 定价（Day12）</w:t>
      </w:r>
    </w:p>
    <w:p>
      <w:pPr>
        <w:spacing w:line="264" w:lineRule="auto"/>
        <w:ind w:firstLine="0" w:left="120"/>
        <w:shd w:val="clear" w:fill="F2F2F2"/>
      </w:pPr>
      <w:r>
        <w:rPr>
          <w:rFonts w:ascii="Consolas" w:hAnsi="Consolas"/>
          <w:sz w:val="18"/>
        </w:rPr>
        <w:t>import numpy as np</w:t>
        <w:br/>
      </w:r>
      <w:r>
        <w:rPr>
          <w:rFonts w:ascii="Consolas" w:hAnsi="Consolas"/>
          <w:sz w:val="18"/>
        </w:rPr>
        <w:t>from math import log, sqrt, exp</w:t>
        <w:br/>
      </w:r>
      <w:r>
        <w:rPr>
          <w:rFonts w:ascii="Consolas" w:hAnsi="Consolas"/>
          <w:sz w:val="18"/>
        </w:rPr>
        <w:t>from scipy.stats import norm</w:t>
        <w:br/>
      </w:r>
      <w:r>
        <w:rPr>
          <w:rFonts w:ascii="Consolas" w:hAnsi="Consolas"/>
          <w:sz w:val="18"/>
        </w:rPr>
        <w:t>def binom(S, K, T, r, sig, n=3, is_call=True):</w:t>
        <w:br/>
      </w:r>
      <w:r>
        <w:rPr>
          <w:rFonts w:ascii="Consolas" w:hAnsi="Consolas"/>
          <w:sz w:val="18"/>
        </w:rPr>
        <w:t xml:space="preserve">    dt = T/n; u = exp(sig*sqrt(dt)); d = 1/u</w:t>
        <w:br/>
      </w:r>
      <w:r>
        <w:rPr>
          <w:rFonts w:ascii="Consolas" w:hAnsi="Consolas"/>
          <w:sz w:val="18"/>
        </w:rPr>
        <w:t xml:space="preserve">    p = (exp(r*dt) - d) / (u - d)</w:t>
        <w:br/>
      </w:r>
      <w:r>
        <w:rPr>
          <w:rFonts w:ascii="Consolas" w:hAnsi="Consolas"/>
          <w:sz w:val="18"/>
        </w:rPr>
        <w:t xml:space="preserve">    S_T = S * u**np.arange(n, -1, -1) * d**np.arange(0, n+1)</w:t>
        <w:br/>
      </w:r>
      <w:r>
        <w:rPr>
          <w:rFonts w:ascii="Consolas" w:hAnsi="Consolas"/>
          <w:sz w:val="18"/>
        </w:rPr>
        <w:t xml:space="preserve">    V = np.maximum(S_T-K, 0) if is_call else np.maximum(K-S_T, 0)</w:t>
        <w:br/>
      </w:r>
      <w:r>
        <w:rPr>
          <w:rFonts w:ascii="Consolas" w:hAnsi="Consolas"/>
          <w:sz w:val="18"/>
        </w:rPr>
        <w:t xml:space="preserve">    for _ in range(n): V = exp(-r*dt) * (p*V[1:] + (1-p)*V[:-1])</w:t>
        <w:br/>
      </w:r>
      <w:r>
        <w:rPr>
          <w:rFonts w:ascii="Consolas" w:hAnsi="Consolas"/>
          <w:sz w:val="18"/>
        </w:rPr>
        <w:t xml:space="preserve">    return V[0]</w:t>
        <w:br/>
      </w:r>
      <w:r>
        <w:rPr>
          <w:rFonts w:ascii="Consolas" w:hAnsi="Consolas"/>
          <w:sz w:val="18"/>
        </w:rPr>
        <w:t>def bs(S, K, T, r, sig, is_call=True):</w:t>
        <w:br/>
      </w:r>
      <w:r>
        <w:rPr>
          <w:rFonts w:ascii="Consolas" w:hAnsi="Consolas"/>
          <w:sz w:val="18"/>
        </w:rPr>
        <w:t xml:space="preserve">    d1 = (log(S/K) + (r+0.5*sig**2)*T) / (sig*sqrt(T)); d2 = d1 - sig*sqrt(T)</w:t>
        <w:br/>
      </w:r>
      <w:r>
        <w:rPr>
          <w:rFonts w:ascii="Consolas" w:hAnsi="Consolas"/>
          <w:sz w:val="18"/>
        </w:rPr>
        <w:t xml:space="preserve">    if is_call: return S*norm.cdf(d1) - K*exp(-r*T)*norm.cdf(d2)</w:t>
        <w:br/>
      </w:r>
      <w:r>
        <w:rPr>
          <w:rFonts w:ascii="Consolas" w:hAnsi="Consolas"/>
          <w:sz w:val="18"/>
        </w:rPr>
        <w:t xml:space="preserve">    return K*exp(-r*T)*norm.cdf(-d2) - S*norm.cdf(-d1)</w:t>
        <w:br/>
      </w:r>
      <w:r>
        <w:rPr>
          <w:rFonts w:ascii="Consolas" w:hAnsi="Consolas"/>
          <w:sz w:val="18"/>
        </w:rPr>
        <w:t>S, K, T, r, sig = 100, 100, 1, 0.03, 0.20</w:t>
        <w:br/>
      </w:r>
      <w:r>
        <w:rPr>
          <w:rFonts w:ascii="Consolas" w:hAnsi="Consolas"/>
          <w:sz w:val="18"/>
        </w:rPr>
        <w:t>print(binom(S,K,T,r,sig,3,True), bs(S,K,T,r,sig,True), bs(S,K,T,r,sig,False))</w:t>
        <w:br/>
      </w:r>
      <w:r>
        <w:rPr>
          <w:rFonts w:ascii="Consolas" w:hAnsi="Consolas"/>
          <w:sz w:val="18"/>
        </w:rPr>
        <w:t>print(bs(S,K,T,r,sig,True)-bs(S,K,T,r,sig,False), S-K*exp(-r*T))</w:t>
      </w:r>
    </w:p>
    <w:p>
      <w:pPr>
        <w:spacing w:before="80" w:after="40" w:line="288" w:lineRule="auto"/>
      </w:pPr>
      <w:r>
        <w:rPr>
          <w:rFonts w:ascii="Times New Roman" w:hAnsi="Times New Roman" w:eastAsia="黑体"/>
          <w:b/>
          <w:sz w:val="21"/>
        </w:rPr>
        <w:t>代码A.13 Black-Scholes 希腊字母（Day13）</w:t>
      </w:r>
    </w:p>
    <w:p>
      <w:pPr>
        <w:spacing w:line="264" w:lineRule="auto"/>
        <w:ind w:firstLine="0" w:left="120"/>
        <w:shd w:val="clear" w:fill="F2F2F2"/>
      </w:pPr>
      <w:r>
        <w:rPr>
          <w:rFonts w:ascii="Consolas" w:hAnsi="Consolas"/>
          <w:sz w:val="18"/>
        </w:rPr>
        <w:t>from math import log, sqrt, exp</w:t>
        <w:br/>
      </w:r>
      <w:r>
        <w:rPr>
          <w:rFonts w:ascii="Consolas" w:hAnsi="Consolas"/>
          <w:sz w:val="18"/>
        </w:rPr>
        <w:t>from scipy.stats import norm</w:t>
        <w:br/>
      </w:r>
      <w:r>
        <w:rPr>
          <w:rFonts w:ascii="Consolas" w:hAnsi="Consolas"/>
          <w:sz w:val="18"/>
        </w:rPr>
        <w:t>def bs_greeks(S, K, T, r, sig):</w:t>
        <w:br/>
      </w:r>
      <w:r>
        <w:rPr>
          <w:rFonts w:ascii="Consolas" w:hAnsi="Consolas"/>
          <w:sz w:val="18"/>
        </w:rPr>
        <w:t xml:space="preserve">    d1 = (log(S/K) + (r+0.5*sig**2)*T) / (sig*sqrt(T)); d2 = d1 - sig*sqrt(T)</w:t>
        <w:br/>
      </w:r>
      <w:r>
        <w:rPr>
          <w:rFonts w:ascii="Consolas" w:hAnsi="Consolas"/>
          <w:sz w:val="18"/>
        </w:rPr>
        <w:t xml:space="preserve">    delta = norm.cdf(d1); gamma = norm.pdf(d1) / (S*sig*sqrt(T))</w:t>
        <w:br/>
      </w:r>
      <w:r>
        <w:rPr>
          <w:rFonts w:ascii="Consolas" w:hAnsi="Consolas"/>
          <w:sz w:val="18"/>
        </w:rPr>
        <w:t xml:space="preserve">    theta = -(S*norm.pdf(d1)*sig)/(2*sqrt(T)) - r*K*exp(-r*T)*norm.cdf(d2)</w:t>
        <w:br/>
      </w:r>
      <w:r>
        <w:rPr>
          <w:rFonts w:ascii="Consolas" w:hAnsi="Consolas"/>
          <w:sz w:val="18"/>
        </w:rPr>
        <w:t xml:space="preserve">    vega = S*norm.pdf(d1)*sqrt(T) / 100; rho = K*T*exp(-r*T)*norm.cdf(d2) / 100</w:t>
        <w:br/>
      </w:r>
      <w:r>
        <w:rPr>
          <w:rFonts w:ascii="Consolas" w:hAnsi="Consolas"/>
          <w:sz w:val="18"/>
        </w:rPr>
        <w:t xml:space="preserve">    return delta, gamma, theta, vega, rho</w:t>
        <w:br/>
      </w:r>
      <w:r>
        <w:rPr>
          <w:rFonts w:ascii="Consolas" w:hAnsi="Consolas"/>
          <w:sz w:val="18"/>
        </w:rPr>
        <w:t>print(bs_greeks(100, 100, 1, 0.03, 0.20))</w:t>
      </w:r>
    </w:p>
    <w:p>
      <w:pPr>
        <w:spacing w:before="80" w:after="40" w:line="288" w:lineRule="auto"/>
      </w:pPr>
      <w:r>
        <w:rPr>
          <w:rFonts w:ascii="Times New Roman" w:hAnsi="Times New Roman" w:eastAsia="黑体"/>
          <w:b/>
          <w:sz w:val="21"/>
        </w:rPr>
        <w:t>代码A.14 四类绩效评价指标（Day14，种子29）</w:t>
      </w:r>
    </w:p>
    <w:p>
      <w:pPr>
        <w:spacing w:line="264" w:lineRule="auto"/>
        <w:ind w:firstLine="0" w:left="120"/>
        <w:shd w:val="clear" w:fill="F2F2F2"/>
      </w:pPr>
      <w:r>
        <w:rPr>
          <w:rFonts w:ascii="Consolas" w:hAnsi="Consolas"/>
          <w:sz w:val="18"/>
        </w:rPr>
        <w:t>import numpy as np</w:t>
        <w:br/>
      </w:r>
      <w:r>
        <w:rPr>
          <w:rFonts w:ascii="Consolas" w:hAnsi="Consolas"/>
          <w:sz w:val="18"/>
        </w:rPr>
        <w:t>rng = np.random.default_rng(29)</w:t>
        <w:br/>
      </w:r>
      <w:r>
        <w:rPr>
          <w:rFonts w:ascii="Consolas" w:hAnsi="Consolas"/>
          <w:sz w:val="18"/>
        </w:rPr>
        <w:t>rp = rng.normal(0.009, 0.02, 250); rb = rng.normal(0.007, 0.015, 250)</w:t>
        <w:br/>
      </w:r>
      <w:r>
        <w:rPr>
          <w:rFonts w:ascii="Consolas" w:hAnsi="Consolas"/>
          <w:sz w:val="18"/>
        </w:rPr>
        <w:t>ann = lambda r: r.mean()*250; vol = lambda r: r.std(ddof=1)*np.sqrt(250)</w:t>
        <w:br/>
      </w:r>
      <w:r>
        <w:rPr>
          <w:rFonts w:ascii="Consolas" w:hAnsi="Consolas"/>
          <w:sz w:val="18"/>
        </w:rPr>
        <w:t>sharpe = (ann(rp) - 0.03) / vol(rp)</w:t>
        <w:br/>
      </w:r>
      <w:r>
        <w:rPr>
          <w:rFonts w:ascii="Consolas" w:hAnsi="Consolas"/>
          <w:sz w:val="18"/>
        </w:rPr>
        <w:t>beta = np.cov(rp, rb)[0, 1] / np.var(rb)</w:t>
        <w:br/>
      </w:r>
      <w:r>
        <w:rPr>
          <w:rFonts w:ascii="Consolas" w:hAnsi="Consolas"/>
          <w:sz w:val="18"/>
        </w:rPr>
        <w:t>treynor = (ann(rp) - 0.03) / beta</w:t>
        <w:br/>
      </w:r>
      <w:r>
        <w:rPr>
          <w:rFonts w:ascii="Consolas" w:hAnsi="Consolas"/>
          <w:sz w:val="18"/>
        </w:rPr>
        <w:t>jensen = (ann(rp) - 0.03) - beta*(ann(rb) - 0.03)</w:t>
        <w:br/>
      </w:r>
      <w:r>
        <w:rPr>
          <w:rFonts w:ascii="Consolas" w:hAnsi="Consolas"/>
          <w:sz w:val="18"/>
        </w:rPr>
        <w:t>te = (rp - rb).std(ddof=1)*np.sqrt(250); ir = (rp - rb).mean()*250 / te</w:t>
        <w:br/>
      </w:r>
      <w:r>
        <w:rPr>
          <w:rFonts w:ascii="Consolas" w:hAnsi="Consolas"/>
          <w:sz w:val="18"/>
        </w:rPr>
        <w:t>print(sharpe, treynor, jensen, ir)</w:t>
      </w:r>
    </w:p>
    <w:p>
      <w:pPr>
        <w:spacing w:before="80" w:after="40" w:line="288" w:lineRule="auto"/>
      </w:pPr>
      <w:r>
        <w:rPr>
          <w:rFonts w:ascii="Times New Roman" w:hAnsi="Times New Roman" w:eastAsia="黑体"/>
          <w:b/>
          <w:sz w:val="21"/>
        </w:rPr>
        <w:t>代码A.15 组合管理全流程（Day15，种子31）</w:t>
      </w:r>
    </w:p>
    <w:p>
      <w:pPr>
        <w:spacing w:line="264" w:lineRule="auto"/>
        <w:ind w:firstLine="0" w:left="120"/>
        <w:shd w:val="clear" w:fill="F2F2F2"/>
      </w:pPr>
      <w:r>
        <w:rPr>
          <w:rFonts w:ascii="Consolas" w:hAnsi="Consolas"/>
          <w:sz w:val="18"/>
        </w:rPr>
        <w:t>import numpy as np</w:t>
        <w:br/>
      </w:r>
      <w:r>
        <w:rPr>
          <w:rFonts w:ascii="Consolas" w:hAnsi="Consolas"/>
          <w:sz w:val="18"/>
        </w:rPr>
        <w:t>rng = np.random.default_rng(31)</w:t>
        <w:br/>
      </w:r>
      <w:r>
        <w:rPr>
          <w:rFonts w:ascii="Consolas" w:hAnsi="Consolas"/>
          <w:sz w:val="18"/>
        </w:rPr>
        <w:t>mu = np.array([0.10, 0.14]); sig = np.array([0.16, 0.24]); rho = 0.3</w:t>
        <w:br/>
      </w:r>
      <w:r>
        <w:rPr>
          <w:rFonts w:ascii="Consolas" w:hAnsi="Consolas"/>
          <w:sz w:val="18"/>
        </w:rPr>
        <w:t>cov = np.array([[sig[0]**2, rho*sig[0]*sig[1]], [rho*sig[0]*sig[1], sig[1]**2]])</w:t>
        <w:br/>
      </w:r>
      <w:r>
        <w:rPr>
          <w:rFonts w:ascii="Consolas" w:hAnsi="Consolas"/>
          <w:sz w:val="18"/>
        </w:rPr>
        <w:t>ws = np.linspace(0, 1, 101)</w:t>
        <w:br/>
      </w:r>
      <w:r>
        <w:rPr>
          <w:rFonts w:ascii="Consolas" w:hAnsi="Consolas"/>
          <w:sz w:val="18"/>
        </w:rPr>
        <w:t>def sh(w):</w:t>
        <w:br/>
      </w:r>
      <w:r>
        <w:rPr>
          <w:rFonts w:ascii="Consolas" w:hAnsi="Consolas"/>
          <w:sz w:val="18"/>
        </w:rPr>
        <w:t xml:space="preserve">    er = w*mu[0] + (1-w)*mu[1]</w:t>
        <w:br/>
      </w:r>
      <w:r>
        <w:rPr>
          <w:rFonts w:ascii="Consolas" w:hAnsi="Consolas"/>
          <w:sz w:val="18"/>
        </w:rPr>
        <w:t xml:space="preserve">    var = w**2*cov[0,0] + (1-w)**2*cov[1,1] + 2*w*(1-w)*cov[0,1]</w:t>
        <w:br/>
      </w:r>
      <w:r>
        <w:rPr>
          <w:rFonts w:ascii="Consolas" w:hAnsi="Consolas"/>
          <w:sz w:val="18"/>
        </w:rPr>
        <w:t xml:space="preserve">    return (er - 0.03)/np.sqrt(var)</w:t>
        <w:br/>
      </w:r>
      <w:r>
        <w:rPr>
          <w:rFonts w:ascii="Consolas" w:hAnsi="Consolas"/>
          <w:sz w:val="18"/>
        </w:rPr>
        <w:t>w_best = ws[np.argmax([sh(w) for w in ws])]</w:t>
        <w:br/>
      </w:r>
      <w:r>
        <w:rPr>
          <w:rFonts w:ascii="Consolas" w:hAnsi="Consolas"/>
          <w:sz w:val="18"/>
        </w:rPr>
        <w:t>a1 = rng.normal(mu[0]/250, sig[0]/np.sqrt(250), 250)</w:t>
        <w:br/>
      </w:r>
      <w:r>
        <w:rPr>
          <w:rFonts w:ascii="Consolas" w:hAnsi="Consolas"/>
          <w:sz w:val="18"/>
        </w:rPr>
        <w:t>a2 = rng.normal(mu[1]/250, sig[1]/np.sqrt(250), 250)</w:t>
        <w:br/>
      </w:r>
      <w:r>
        <w:rPr>
          <w:rFonts w:ascii="Consolas" w:hAnsi="Consolas"/>
          <w:sz w:val="18"/>
        </w:rPr>
        <w:t>port = w_best*a1 + (1-w_best)*a2</w:t>
        <w:br/>
      </w:r>
      <w:r>
        <w:rPr>
          <w:rFonts w:ascii="Consolas" w:hAnsi="Consolas"/>
          <w:sz w:val="18"/>
        </w:rPr>
        <w:t>rm = rng.normal(0.007, 0.015, 250)</w:t>
        <w:br/>
      </w:r>
      <w:r>
        <w:rPr>
          <w:rFonts w:ascii="Consolas" w:hAnsi="Consolas"/>
          <w:sz w:val="18"/>
        </w:rPr>
        <w:t>ir15 = (port-rm).mean()*250 / ((port-rm).std()*np.sqrt(250))</w:t>
        <w:br/>
      </w:r>
      <w:r>
        <w:rPr>
          <w:rFonts w:ascii="Consolas" w:hAnsi="Consolas"/>
          <w:sz w:val="18"/>
        </w:rPr>
        <w:t>print(w_best, port.mean()*250, port.std()*np.sqrt(250), ir15, len(range(0, 250, 20)))</w:t>
      </w:r>
    </w:p>
    <w:sectPr w:rsidR="00FC693F" w:rsidRPr="0006063C" w:rsidSect="00034616">
      <w:footerReference w:type="default" r:id="rId9"/>
      <w:pgSz w:w="12240" w:h="15840"/>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fficeWordTocPaginationV1" w:val="v5:4cfe27405682a6f76ec3d34ef672a16e87e9f26a1388d196f1446db167902b62:6f2603e29ce9b3129a47de714d6c039b7b5cb2e5db5dc27c8f8319d89314eebf:682e51b442426747951855abfe94ad7e9ca57279cb7f0343a32e5ba81205f5a5"/>
  </w:docVars>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line="360" w:lineRule="auto"/>
      <w:outlineLvl w:val="1"/>
    </w:pPr>
    <w:rPr>
      <w:rFonts w:asciiTheme="majorHAnsi" w:eastAsiaTheme="majorEastAsia" w:hAnsiTheme="majorHAnsi" w:cstheme="majorBidi" w:ascii="Times New Roman" w:hAnsi="Times New Roman" w:eastAsia="黑体"/>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360" w:lineRule="auto"/>
      <w:contextualSpacing/>
      <w:jc w:val="center"/>
    </w:pPr>
    <w:rPr>
      <w:rFonts w:asciiTheme="majorHAnsi" w:eastAsiaTheme="majorEastAsia" w:hAnsiTheme="majorHAnsi" w:cstheme="majorBidi" w:ascii="Times New Roman" w:hAnsi="Times New Roman"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semiHidden/>
    <w:unhideWhenUsed/>
    <w:uiPriority w:val="39"/>
    <w:pPr>
      <w:spacing w:line="240" w:lineRule="auto"/>
      <w:ind w:firstLine="0" w:firstLineChars="0" w:hanging="0" w:hangingChars="0"/>
    </w:pPr>
  </w:style>
  <w:style w:type="paragraph" w:styleId="TOC2">
    <w:name w:val="toc 2"/>
    <w:basedOn w:val="Normal"/>
    <w:next w:val="Normal"/>
    <w:semiHidden/>
    <w:unhideWhenUsed/>
    <w:uiPriority w:val="39"/>
    <w:pPr>
      <w:spacing w:line="240" w:lineRule="auto"/>
      <w:ind w:firstLine="0" w:firstLineChars="0" w:hanging="0" w:hangingChars="0" w:left="420" w:leftChars="2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semiHidden/>
    <w:unhideWhenUsed/>
    <w:uiPriority w:val="39"/>
    <w:pPr>
      <w:spacing w:line="240" w:lineRule="auto"/>
      <w:ind w:firstLine="0" w:firstLineChars="0" w:hanging="0" w:hangingChars="0"/>
    </w:pPr>
  </w:style>
  <w:style w:type="paragraph" w:styleId="TOC2">
    <w:name w:val="toc 2"/>
    <w:basedOn w:val="Normal"/>
    <w:next w:val="Normal"/>
    <w:semiHidden/>
    <w:unhideWhenUsed/>
    <w:uiPriority w:val="39"/>
    <w:pPr>
      <w:spacing w:line="240" w:lineRule="auto"/>
      <w:ind w:firstLine="0" w:firstLineChars="0" w:hanging="0" w:hangingChars="0" w:left="420" w:left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