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60"/>
        <w:jc w:val="center"/>
      </w:pPr>
      <w:r>
        <w:t>模拟数据组合风险报告</w:t>
      </w:r>
    </w:p>
    <w:p>
      <w:pPr>
        <w:jc w:val="both"/>
      </w:pPr>
      <w:r>
        <w:t>——四资产配置的收益、风险与压力测试（方法论演示）</w:t>
      </w:r>
    </w:p>
    <w:p>
      <w:pPr>
        <w:pStyle w:val="Heading1"/>
        <w:spacing w:before="280" w:after="120"/>
      </w:pPr>
      <w:r>
        <w:t>报告摘要</w:t>
      </w:r>
    </w:p>
    <w:p>
      <w:pPr>
        <w:jc w:val="both"/>
      </w:pPr>
      <w:r>
        <w:t>本报告基于四只模拟资产演示从组合配置到风险度量的完整分析流程。在月度参数口径下，最优配置（最大夏普组合）为资产A占比31.39%、资产B占比6.66%、资产C占比28.08%、资产D占比33.86%，年化预期收益11.25%，年化波动11.91%，年化夏普比率0.73，风险收益比优于全局最小方差组合（年化收益8.93%、年化波动10.29%）。</w:t>
      </w:r>
    </w:p>
    <w:p>
      <w:pPr>
        <w:jc w:val="both"/>
      </w:pPr>
      <w:r>
        <w:t>风险度量方面，组合单日95%风险价值（VaR）介于-0.90%（历史模拟法）与-1.19%（参数法）之间，对应条件风险价值（CVaR）介于-1.09%与-1.50%之间。历史模拟法基于500个交易日样本路径，更贴合收益的实际分布；参数法基于正态假设，结果更为保守，两者差异提示组合收益分布存在轻度厚尾。</w:t>
      </w:r>
    </w:p>
    <w:p>
      <w:pPr>
        <w:jc w:val="both"/>
      </w:pPr>
      <w:r>
        <w:t>压力测试显示：温和熊市情景（单日损失约10%）可持有观察；金融危机情景（约30%）与极端黑天鹅情景（约50%）均触发减仓或对冲动作。组合日常尾部风险处于可控区间，但极端情景必须预先设定应对预案。</w:t>
      </w:r>
    </w:p>
    <w:p>
      <w:pPr>
        <w:jc w:val="both"/>
      </w:pPr>
      <w:r>
        <w:t>建议以最大夏普组合为基准配置并按季度再平衡；设定单日下跌20%的减仓预警线并配套对冲预案；每季度复核绩效归因与风险度量口径。本报告全部数字来自固定随机种子的模拟数据，仅作方法论演示，不构成投资建议。</w:t>
      </w:r>
    </w:p>
    <w:p>
      <w:pPr>
        <w:pStyle w:val="Heading1"/>
        <w:spacing w:before="280" w:after="120"/>
      </w:pPr>
      <w:r>
        <w:t>1 报告背景与数据说明</w:t>
      </w:r>
    </w:p>
    <w:p>
      <w:pPr>
        <w:pStyle w:val="Heading2"/>
        <w:spacing w:before="220" w:after="100"/>
      </w:pPr>
      <w:r>
        <w:t>1.1 报告目的</w:t>
      </w:r>
    </w:p>
    <w:p>
      <w:pPr>
        <w:jc w:val="both"/>
      </w:pPr>
      <w:r>
        <w:t>本报告用于演示投资组合与风险管理实战的标准流程：从资产收益数据出发，完成组合优化（有效前沿与最优配置）、风险度量（VaR与CVaR）和压力测试，最终形成可复跑、可复核的组合风险报告模板。</w:t>
      </w:r>
    </w:p>
    <w:p>
      <w:pPr>
        <w:pStyle w:val="Heading2"/>
        <w:spacing w:before="220" w:after="100"/>
      </w:pPr>
      <w:r>
        <w:t>1.2 数据说明</w:t>
      </w:r>
    </w:p>
    <w:p>
      <w:pPr>
        <w:jc w:val="both"/>
      </w:pPr>
      <w:r>
        <w:t>数据为四只模拟资产（A、B、C、D）的月度收益参数与500个交易日随机路径。月度参数设定为：年化收益分别为12%、9.6%、7.2%、12%，年化波动分别为20%、16%、12%、17%，资产间相关系数介于0.2至0.45。随机种子固定，全部结果可复现。</w:t>
      </w:r>
    </w:p>
    <w:p>
      <w:pPr>
        <w:pStyle w:val="Heading2"/>
        <w:spacing w:before="220" w:after="100"/>
      </w:pPr>
      <w:r>
        <w:t>1.3 方法局限</w:t>
      </w:r>
    </w:p>
    <w:p>
      <w:pPr>
        <w:jc w:val="both"/>
      </w:pPr>
      <w:r>
        <w:t>模拟数据不代表任何真实资产，结论仅用于方法演示。历史模拟法依赖样本路径的实现值，参数法假设正态分布会低估真实尾部风险。</w:t>
      </w:r>
    </w:p>
    <w:p>
      <w:pPr>
        <w:pStyle w:val="Heading1"/>
        <w:spacing w:before="280" w:after="120"/>
      </w:pPr>
      <w:r>
        <w:t>2 组合概况</w:t>
      </w:r>
    </w:p>
    <w:p>
      <w:pPr>
        <w:jc w:val="both"/>
      </w:pPr>
      <w:r>
        <w:t>结论：在给定风险偏好下，最大夏普组合优于最小方差组合，推荐作为基准配置。最大夏普组合通过提高资产A与D的配置权重换取更高预期收益；最小方差组合将54.34%的权重集中于低波动资产C，波动最低但收益也最低。</w:t>
      </w:r>
    </w:p>
    <w:p>
      <w:pPr>
        <w:spacing w:before="80" w:after="240"/>
        <w:jc w:val="center"/>
      </w:pPr>
      <w:r>
        <w:rPr>
          <w:rFonts w:ascii="Times New Roman" w:hAnsi="Times New Roman" w:eastAsia="宋体"/>
          <w:color w:val="000000"/>
          <w:sz w:val="21"/>
        </w:rPr>
        <w:t>表1　组合配置与核心指标对照（月度参数口径）</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2381"/>
            <w:shd w:val="clear" w:color="auto" w:fill="D9D9D9"/>
            <w:vAlign w:val="center"/>
          </w:tcPr>
          <w:p>
            <w:pPr>
              <w:spacing w:line="240" w:lineRule="auto"/>
              <w:ind w:firstLine="0" w:left="0" w:right="0"/>
              <w:jc w:val="center"/>
            </w:pPr>
            <w:r>
              <w:rPr>
                <w:rFonts w:ascii="Times New Roman" w:hAnsi="Times New Roman" w:eastAsia="宋体"/>
                <w:b/>
                <w:sz w:val="21"/>
              </w:rPr>
              <w:t>指标</w:t>
            </w:r>
          </w:p>
        </w:tc>
        <w:tc>
          <w:tcPr>
            <w:tcW w:type="dxa" w:w="2948"/>
            <w:shd w:val="clear" w:color="auto" w:fill="D9D9D9"/>
            <w:vAlign w:val="center"/>
          </w:tcPr>
          <w:p>
            <w:pPr>
              <w:spacing w:line="240" w:lineRule="auto"/>
              <w:ind w:firstLine="0" w:left="0" w:right="0"/>
              <w:jc w:val="center"/>
            </w:pPr>
            <w:r>
              <w:rPr>
                <w:rFonts w:ascii="Times New Roman" w:hAnsi="Times New Roman" w:eastAsia="宋体"/>
                <w:b/>
                <w:sz w:val="21"/>
              </w:rPr>
              <w:t>最大夏普组合（推荐）</w:t>
            </w:r>
          </w:p>
        </w:tc>
        <w:tc>
          <w:tcPr>
            <w:tcW w:type="dxa" w:w="2948"/>
            <w:shd w:val="clear" w:color="auto" w:fill="D9D9D9"/>
            <w:vAlign w:val="center"/>
          </w:tcPr>
          <w:p>
            <w:pPr>
              <w:spacing w:line="240" w:lineRule="auto"/>
              <w:ind w:firstLine="0" w:left="0" w:right="0"/>
              <w:jc w:val="center"/>
            </w:pPr>
            <w:r>
              <w:rPr>
                <w:rFonts w:ascii="Times New Roman" w:hAnsi="Times New Roman" w:eastAsia="宋体"/>
                <w:b/>
                <w:sz w:val="21"/>
              </w:rPr>
              <w:t>最小方差组合 GMV</w:t>
            </w:r>
          </w:p>
        </w:tc>
      </w:tr>
      <w:tr>
        <w:trPr>
          <w:cantSplit/>
        </w:trPr>
        <w:tc>
          <w:tcPr>
            <w:tcW w:type="dxa" w:w="2381"/>
            <w:vAlign w:val="center"/>
          </w:tcPr>
          <w:p>
            <w:pPr>
              <w:spacing w:line="240" w:lineRule="auto"/>
              <w:ind w:firstLine="0" w:left="0" w:right="0"/>
              <w:jc w:val="left"/>
            </w:pPr>
            <w:r>
              <w:rPr>
                <w:rFonts w:ascii="Times New Roman" w:hAnsi="Times New Roman" w:eastAsia="宋体"/>
                <w:b w:val="0"/>
                <w:sz w:val="21"/>
              </w:rPr>
              <w:t>资产A权重</w:t>
            </w:r>
          </w:p>
        </w:tc>
        <w:tc>
          <w:tcPr>
            <w:tcW w:type="dxa" w:w="2948"/>
            <w:vAlign w:val="center"/>
          </w:tcPr>
          <w:p>
            <w:pPr>
              <w:spacing w:line="240" w:lineRule="auto"/>
              <w:ind w:firstLine="0" w:left="0" w:right="0"/>
              <w:jc w:val="center"/>
            </w:pPr>
            <w:r>
              <w:rPr>
                <w:rFonts w:ascii="Times New Roman" w:hAnsi="Times New Roman" w:eastAsia="宋体"/>
                <w:b w:val="0"/>
                <w:sz w:val="21"/>
              </w:rPr>
              <w:t>31.39%</w:t>
            </w:r>
          </w:p>
        </w:tc>
        <w:tc>
          <w:tcPr>
            <w:tcW w:type="dxa" w:w="2948"/>
            <w:vAlign w:val="center"/>
          </w:tcPr>
          <w:p>
            <w:pPr>
              <w:spacing w:line="240" w:lineRule="auto"/>
              <w:ind w:firstLine="0" w:left="0" w:right="0"/>
              <w:jc w:val="center"/>
            </w:pPr>
            <w:r>
              <w:rPr>
                <w:rFonts w:ascii="Times New Roman" w:hAnsi="Times New Roman" w:eastAsia="宋体"/>
                <w:b w:val="0"/>
                <w:sz w:val="21"/>
              </w:rPr>
              <w:t>1.90%</w:t>
            </w:r>
          </w:p>
        </w:tc>
      </w:tr>
      <w:tr>
        <w:trPr>
          <w:cantSplit/>
        </w:trPr>
        <w:tc>
          <w:tcPr>
            <w:tcW w:type="dxa" w:w="2381"/>
            <w:vAlign w:val="center"/>
          </w:tcPr>
          <w:p>
            <w:pPr>
              <w:spacing w:line="240" w:lineRule="auto"/>
              <w:ind w:firstLine="0" w:left="0" w:right="0"/>
              <w:jc w:val="left"/>
            </w:pPr>
            <w:r>
              <w:rPr>
                <w:rFonts w:ascii="Times New Roman" w:hAnsi="Times New Roman" w:eastAsia="宋体"/>
                <w:b w:val="0"/>
                <w:sz w:val="21"/>
              </w:rPr>
              <w:t>资产B权重</w:t>
            </w:r>
          </w:p>
        </w:tc>
        <w:tc>
          <w:tcPr>
            <w:tcW w:type="dxa" w:w="2948"/>
            <w:vAlign w:val="center"/>
          </w:tcPr>
          <w:p>
            <w:pPr>
              <w:spacing w:line="240" w:lineRule="auto"/>
              <w:ind w:firstLine="0" w:left="0" w:right="0"/>
              <w:jc w:val="center"/>
            </w:pPr>
            <w:r>
              <w:rPr>
                <w:rFonts w:ascii="Times New Roman" w:hAnsi="Times New Roman" w:eastAsia="宋体"/>
                <w:b w:val="0"/>
                <w:sz w:val="21"/>
              </w:rPr>
              <w:t>6.66%</w:t>
            </w:r>
          </w:p>
        </w:tc>
        <w:tc>
          <w:tcPr>
            <w:tcW w:type="dxa" w:w="2948"/>
            <w:vAlign w:val="center"/>
          </w:tcPr>
          <w:p>
            <w:pPr>
              <w:spacing w:line="240" w:lineRule="auto"/>
              <w:ind w:firstLine="0" w:left="0" w:right="0"/>
              <w:jc w:val="center"/>
            </w:pPr>
            <w:r>
              <w:rPr>
                <w:rFonts w:ascii="Times New Roman" w:hAnsi="Times New Roman" w:eastAsia="宋体"/>
                <w:b w:val="0"/>
                <w:sz w:val="21"/>
              </w:rPr>
              <w:t>21.33%</w:t>
            </w:r>
          </w:p>
        </w:tc>
      </w:tr>
      <w:tr>
        <w:trPr>
          <w:cantSplit/>
        </w:trPr>
        <w:tc>
          <w:tcPr>
            <w:tcW w:type="dxa" w:w="2381"/>
            <w:vAlign w:val="center"/>
          </w:tcPr>
          <w:p>
            <w:pPr>
              <w:spacing w:line="240" w:lineRule="auto"/>
              <w:ind w:firstLine="0" w:left="0" w:right="0"/>
              <w:jc w:val="left"/>
            </w:pPr>
            <w:r>
              <w:rPr>
                <w:rFonts w:ascii="Times New Roman" w:hAnsi="Times New Roman" w:eastAsia="宋体"/>
                <w:b w:val="0"/>
                <w:sz w:val="21"/>
              </w:rPr>
              <w:t>资产C权重</w:t>
            </w:r>
          </w:p>
        </w:tc>
        <w:tc>
          <w:tcPr>
            <w:tcW w:type="dxa" w:w="2948"/>
            <w:vAlign w:val="center"/>
          </w:tcPr>
          <w:p>
            <w:pPr>
              <w:spacing w:line="240" w:lineRule="auto"/>
              <w:ind w:firstLine="0" w:left="0" w:right="0"/>
              <w:jc w:val="center"/>
            </w:pPr>
            <w:r>
              <w:rPr>
                <w:rFonts w:ascii="Times New Roman" w:hAnsi="Times New Roman" w:eastAsia="宋体"/>
                <w:b w:val="0"/>
                <w:sz w:val="21"/>
              </w:rPr>
              <w:t>28.08%</w:t>
            </w:r>
          </w:p>
        </w:tc>
        <w:tc>
          <w:tcPr>
            <w:tcW w:type="dxa" w:w="2948"/>
            <w:vAlign w:val="center"/>
          </w:tcPr>
          <w:p>
            <w:pPr>
              <w:spacing w:line="240" w:lineRule="auto"/>
              <w:ind w:firstLine="0" w:left="0" w:right="0"/>
              <w:jc w:val="center"/>
            </w:pPr>
            <w:r>
              <w:rPr>
                <w:rFonts w:ascii="Times New Roman" w:hAnsi="Times New Roman" w:eastAsia="宋体"/>
                <w:b w:val="0"/>
                <w:sz w:val="21"/>
              </w:rPr>
              <w:t>54.34%</w:t>
            </w:r>
          </w:p>
        </w:tc>
      </w:tr>
      <w:tr>
        <w:trPr>
          <w:cantSplit/>
        </w:trPr>
        <w:tc>
          <w:tcPr>
            <w:tcW w:type="dxa" w:w="2381"/>
            <w:vAlign w:val="center"/>
          </w:tcPr>
          <w:p>
            <w:pPr>
              <w:spacing w:line="240" w:lineRule="auto"/>
              <w:ind w:firstLine="0" w:left="0" w:right="0"/>
              <w:jc w:val="left"/>
            </w:pPr>
            <w:r>
              <w:rPr>
                <w:rFonts w:ascii="Times New Roman" w:hAnsi="Times New Roman" w:eastAsia="宋体"/>
                <w:b w:val="0"/>
                <w:sz w:val="21"/>
              </w:rPr>
              <w:t>资产D权重</w:t>
            </w:r>
          </w:p>
        </w:tc>
        <w:tc>
          <w:tcPr>
            <w:tcW w:type="dxa" w:w="2948"/>
            <w:vAlign w:val="center"/>
          </w:tcPr>
          <w:p>
            <w:pPr>
              <w:spacing w:line="240" w:lineRule="auto"/>
              <w:ind w:firstLine="0" w:left="0" w:right="0"/>
              <w:jc w:val="center"/>
            </w:pPr>
            <w:r>
              <w:rPr>
                <w:rFonts w:ascii="Times New Roman" w:hAnsi="Times New Roman" w:eastAsia="宋体"/>
                <w:b w:val="0"/>
                <w:sz w:val="21"/>
              </w:rPr>
              <w:t>33.86%</w:t>
            </w:r>
          </w:p>
        </w:tc>
        <w:tc>
          <w:tcPr>
            <w:tcW w:type="dxa" w:w="2948"/>
            <w:vAlign w:val="center"/>
          </w:tcPr>
          <w:p>
            <w:pPr>
              <w:spacing w:line="240" w:lineRule="auto"/>
              <w:ind w:firstLine="0" w:left="0" w:right="0"/>
              <w:jc w:val="center"/>
            </w:pPr>
            <w:r>
              <w:rPr>
                <w:rFonts w:ascii="Times New Roman" w:hAnsi="Times New Roman" w:eastAsia="宋体"/>
                <w:b w:val="0"/>
                <w:sz w:val="21"/>
              </w:rPr>
              <w:t>22.43%</w:t>
            </w:r>
          </w:p>
        </w:tc>
      </w:tr>
      <w:tr>
        <w:trPr>
          <w:cantSplit/>
        </w:trPr>
        <w:tc>
          <w:tcPr>
            <w:tcW w:type="dxa" w:w="2381"/>
            <w:vAlign w:val="center"/>
          </w:tcPr>
          <w:p>
            <w:pPr>
              <w:spacing w:line="240" w:lineRule="auto"/>
              <w:ind w:firstLine="0" w:left="0" w:right="0"/>
              <w:jc w:val="left"/>
            </w:pPr>
            <w:r>
              <w:rPr>
                <w:rFonts w:ascii="Times New Roman" w:hAnsi="Times New Roman" w:eastAsia="宋体"/>
                <w:b w:val="0"/>
                <w:sz w:val="21"/>
              </w:rPr>
              <w:t>年化预期收益</w:t>
            </w:r>
          </w:p>
        </w:tc>
        <w:tc>
          <w:tcPr>
            <w:tcW w:type="dxa" w:w="2948"/>
            <w:vAlign w:val="center"/>
          </w:tcPr>
          <w:p>
            <w:pPr>
              <w:spacing w:line="240" w:lineRule="auto"/>
              <w:ind w:firstLine="0" w:left="0" w:right="0"/>
              <w:jc w:val="center"/>
            </w:pPr>
            <w:r>
              <w:rPr>
                <w:rFonts w:ascii="Times New Roman" w:hAnsi="Times New Roman" w:eastAsia="宋体"/>
                <w:b w:val="0"/>
                <w:sz w:val="21"/>
              </w:rPr>
              <w:t>11.25%</w:t>
            </w:r>
          </w:p>
        </w:tc>
        <w:tc>
          <w:tcPr>
            <w:tcW w:type="dxa" w:w="2948"/>
            <w:vAlign w:val="center"/>
          </w:tcPr>
          <w:p>
            <w:pPr>
              <w:spacing w:line="240" w:lineRule="auto"/>
              <w:ind w:firstLine="0" w:left="0" w:right="0"/>
              <w:jc w:val="center"/>
            </w:pPr>
            <w:r>
              <w:rPr>
                <w:rFonts w:ascii="Times New Roman" w:hAnsi="Times New Roman" w:eastAsia="宋体"/>
                <w:b w:val="0"/>
                <w:sz w:val="21"/>
              </w:rPr>
              <w:t>8.93%</w:t>
            </w:r>
          </w:p>
        </w:tc>
      </w:tr>
      <w:tr>
        <w:trPr>
          <w:cantSplit/>
        </w:trPr>
        <w:tc>
          <w:tcPr>
            <w:tcW w:type="dxa" w:w="2381"/>
            <w:vAlign w:val="center"/>
          </w:tcPr>
          <w:p>
            <w:pPr>
              <w:spacing w:line="240" w:lineRule="auto"/>
              <w:ind w:firstLine="0" w:left="0" w:right="0"/>
              <w:jc w:val="left"/>
            </w:pPr>
            <w:r>
              <w:rPr>
                <w:rFonts w:ascii="Times New Roman" w:hAnsi="Times New Roman" w:eastAsia="宋体"/>
                <w:b w:val="0"/>
                <w:sz w:val="21"/>
              </w:rPr>
              <w:t>年化波动</w:t>
            </w:r>
          </w:p>
        </w:tc>
        <w:tc>
          <w:tcPr>
            <w:tcW w:type="dxa" w:w="2948"/>
            <w:vAlign w:val="center"/>
          </w:tcPr>
          <w:p>
            <w:pPr>
              <w:spacing w:line="240" w:lineRule="auto"/>
              <w:ind w:firstLine="0" w:left="0" w:right="0"/>
              <w:jc w:val="center"/>
            </w:pPr>
            <w:r>
              <w:rPr>
                <w:rFonts w:ascii="Times New Roman" w:hAnsi="Times New Roman" w:eastAsia="宋体"/>
                <w:b w:val="0"/>
                <w:sz w:val="21"/>
              </w:rPr>
              <w:t>11.91%</w:t>
            </w:r>
          </w:p>
        </w:tc>
        <w:tc>
          <w:tcPr>
            <w:tcW w:type="dxa" w:w="2948"/>
            <w:vAlign w:val="center"/>
          </w:tcPr>
          <w:p>
            <w:pPr>
              <w:spacing w:line="240" w:lineRule="auto"/>
              <w:ind w:firstLine="0" w:left="0" w:right="0"/>
              <w:jc w:val="center"/>
            </w:pPr>
            <w:r>
              <w:rPr>
                <w:rFonts w:ascii="Times New Roman" w:hAnsi="Times New Roman" w:eastAsia="宋体"/>
                <w:b w:val="0"/>
                <w:sz w:val="21"/>
              </w:rPr>
              <w:t>10.29%</w:t>
            </w:r>
          </w:p>
        </w:tc>
      </w:tr>
      <w:tr>
        <w:trPr>
          <w:cantSplit/>
        </w:trPr>
        <w:tc>
          <w:tcPr>
            <w:tcW w:type="dxa" w:w="2381"/>
            <w:vAlign w:val="center"/>
          </w:tcPr>
          <w:p>
            <w:pPr>
              <w:spacing w:line="240" w:lineRule="auto"/>
              <w:ind w:firstLine="0" w:left="0" w:right="0"/>
              <w:jc w:val="left"/>
            </w:pPr>
            <w:r>
              <w:rPr>
                <w:rFonts w:ascii="Times New Roman" w:hAnsi="Times New Roman" w:eastAsia="宋体"/>
                <w:b w:val="0"/>
                <w:sz w:val="21"/>
              </w:rPr>
              <w:t>年化夏普比率</w:t>
            </w:r>
          </w:p>
        </w:tc>
        <w:tc>
          <w:tcPr>
            <w:tcW w:type="dxa" w:w="2948"/>
            <w:vAlign w:val="center"/>
          </w:tcPr>
          <w:p>
            <w:pPr>
              <w:spacing w:line="240" w:lineRule="auto"/>
              <w:ind w:firstLine="0" w:left="0" w:right="0"/>
              <w:jc w:val="center"/>
            </w:pPr>
            <w:r>
              <w:rPr>
                <w:rFonts w:ascii="Times New Roman" w:hAnsi="Times New Roman" w:eastAsia="宋体"/>
                <w:b w:val="0"/>
                <w:sz w:val="21"/>
              </w:rPr>
              <w:t>0.73</w:t>
            </w:r>
          </w:p>
        </w:tc>
        <w:tc>
          <w:tcPr>
            <w:tcW w:type="dxa" w:w="2948"/>
            <w:vAlign w:val="center"/>
          </w:tcPr>
          <w:p>
            <w:pPr>
              <w:spacing w:line="240" w:lineRule="auto"/>
              <w:ind w:firstLine="0" w:left="0" w:right="0"/>
              <w:jc w:val="center"/>
            </w:pPr>
            <w:r>
              <w:rPr>
                <w:rFonts w:ascii="Times New Roman" w:hAnsi="Times New Roman" w:eastAsia="宋体"/>
                <w:b w:val="0"/>
                <w:sz w:val="21"/>
              </w:rPr>
              <w:t>0.67</w:t>
            </w:r>
          </w:p>
        </w:tc>
      </w:tr>
    </w:tbl>
    <w:p>
      <w:pPr>
        <w:spacing w:after="240"/>
      </w:pPr>
      <w:r>
        <w:rPr>
          <w:rFonts w:ascii="Times New Roman" w:hAnsi="Times New Roman" w:eastAsia="宋体"/>
          <w:color w:val="767676"/>
          <w:sz w:val="18"/>
        </w:rPr>
        <w:t>数据来源：run_portfolio.py 模拟数据实跑输出（随机种子2026）。年化夏普=月夏普×√12。</w:t>
      </w:r>
    </w:p>
    <w:p>
      <w:pPr>
        <w:pStyle w:val="Heading1"/>
        <w:spacing w:before="280" w:after="120"/>
      </w:pPr>
      <w:r>
        <w:t>3 有效前沿</w:t>
      </w:r>
    </w:p>
    <w:p>
      <w:pPr>
        <w:jc w:val="both"/>
      </w:pPr>
      <w:r>
        <w:t>结论：有效前沿是给定风险下收益最高的组合集合，投资者应按自身风险偏好选择前沿上的点。图中散点为3万组随机权重组合，红色上包络线为有效前沿；绿色星号为最小方差组合（前沿左端点），橙色菱形为最大夏普组合（切点组合）。</w:t>
      </w:r>
    </w:p>
    <w:p>
      <w:pPr>
        <w:jc w:val="center"/>
      </w:pPr>
      <w:r>
        <w:drawing>
          <wp:inline xmlns:a="http://schemas.openxmlformats.org/drawingml/2006/main" xmlns:pic="http://schemas.openxmlformats.org/drawingml/2006/picture">
            <wp:extent cx="4860000" cy="3780000"/>
            <wp:docPr id="1" name="Picture 1"/>
            <wp:cNvGraphicFramePr>
              <a:graphicFrameLocks noChangeAspect="1"/>
            </wp:cNvGraphicFramePr>
            <a:graphic>
              <a:graphicData uri="http://schemas.openxmlformats.org/drawingml/2006/picture">
                <pic:pic>
                  <pic:nvPicPr>
                    <pic:cNvPr id="0" name="efficient_frontier.png"/>
                    <pic:cNvPicPr/>
                  </pic:nvPicPr>
                  <pic:blipFill>
                    <a:blip r:embed="rId9"/>
                    <a:stretch>
                      <a:fillRect/>
                    </a:stretch>
                  </pic:blipFill>
                  <pic:spPr>
                    <a:xfrm>
                      <a:off x="0" y="0"/>
                      <a:ext cx="4860000" cy="3780000"/>
                    </a:xfrm>
                    <a:prstGeom prst="rect"/>
                  </pic:spPr>
                </pic:pic>
              </a:graphicData>
            </a:graphic>
          </wp:inline>
        </w:drawing>
      </w:r>
    </w:p>
    <w:p>
      <w:pPr>
        <w:spacing w:before="80" w:after="240"/>
        <w:jc w:val="center"/>
      </w:pPr>
      <w:r>
        <w:rPr>
          <w:rFonts w:ascii="Times New Roman" w:hAnsi="Times New Roman" w:eastAsia="宋体"/>
          <w:color w:val="000000"/>
          <w:sz w:val="21"/>
        </w:rPr>
        <w:t>图1　有效前沿与最优组合（模拟数据）</w:t>
      </w:r>
    </w:p>
    <w:p>
      <w:pPr>
        <w:spacing w:after="240"/>
      </w:pPr>
      <w:r>
        <w:rPr>
          <w:rFonts w:ascii="Times New Roman" w:hAnsi="Times New Roman" w:eastAsia="宋体"/>
          <w:color w:val="767676"/>
          <w:sz w:val="18"/>
        </w:rPr>
        <w:t>数据来源：run_portfolio.py 模拟数据实跑输出（随机种子2026、7），横轴年化波动率，纵轴年化预期收益。</w:t>
      </w:r>
    </w:p>
    <w:p>
      <w:pPr>
        <w:pStyle w:val="Heading1"/>
        <w:spacing w:before="280" w:after="120"/>
      </w:pPr>
      <w:r>
        <w:t>4 风险度量</w:t>
      </w:r>
    </w:p>
    <w:p>
      <w:pPr>
        <w:jc w:val="both"/>
      </w:pPr>
      <w:r>
        <w:t>结论：组合单日尾部风险处于可控区间，但两种方法的估计存在差距，应同时参考经验分布与正态假设两类情景。历史模拟法直接取样本5%分位与尾部均值，更贴合实际分布；参数法基于正态近似，给出更保守的估计，差距反映组合收益分布的轻度厚尾。</w:t>
      </w:r>
    </w:p>
    <w:p>
      <w:pPr>
        <w:spacing w:before="80" w:after="240"/>
        <w:jc w:val="center"/>
      </w:pPr>
      <w:r>
        <w:rPr>
          <w:rFonts w:ascii="Times New Roman" w:hAnsi="Times New Roman" w:eastAsia="宋体"/>
          <w:color w:val="000000"/>
          <w:sz w:val="21"/>
        </w:rPr>
        <w:t>表2　95% VaR与CVaR对照（1日，推荐组合）</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3515"/>
            <w:shd w:val="clear" w:color="auto" w:fill="D9D9D9"/>
            <w:vAlign w:val="center"/>
          </w:tcPr>
          <w:p>
            <w:pPr>
              <w:spacing w:line="240" w:lineRule="auto"/>
              <w:ind w:firstLine="0" w:left="0" w:right="0"/>
              <w:jc w:val="center"/>
            </w:pPr>
            <w:r>
              <w:rPr>
                <w:rFonts w:ascii="Times New Roman" w:hAnsi="Times New Roman" w:eastAsia="宋体"/>
                <w:b/>
                <w:sz w:val="21"/>
              </w:rPr>
              <w:t>方法</w:t>
            </w:r>
          </w:p>
        </w:tc>
        <w:tc>
          <w:tcPr>
            <w:tcW w:type="dxa" w:w="2381"/>
            <w:shd w:val="clear" w:color="auto" w:fill="D9D9D9"/>
            <w:vAlign w:val="center"/>
          </w:tcPr>
          <w:p>
            <w:pPr>
              <w:spacing w:line="240" w:lineRule="auto"/>
              <w:ind w:firstLine="0" w:left="0" w:right="0"/>
              <w:jc w:val="center"/>
            </w:pPr>
            <w:r>
              <w:rPr>
                <w:rFonts w:ascii="Times New Roman" w:hAnsi="Times New Roman" w:eastAsia="宋体"/>
                <w:b/>
                <w:sz w:val="21"/>
              </w:rPr>
              <w:t>95% VaR（1日）</w:t>
            </w:r>
          </w:p>
        </w:tc>
        <w:tc>
          <w:tcPr>
            <w:tcW w:type="dxa" w:w="2381"/>
            <w:shd w:val="clear" w:color="auto" w:fill="D9D9D9"/>
            <w:vAlign w:val="center"/>
          </w:tcPr>
          <w:p>
            <w:pPr>
              <w:spacing w:line="240" w:lineRule="auto"/>
              <w:ind w:firstLine="0" w:left="0" w:right="0"/>
              <w:jc w:val="center"/>
            </w:pPr>
            <w:r>
              <w:rPr>
                <w:rFonts w:ascii="Times New Roman" w:hAnsi="Times New Roman" w:eastAsia="宋体"/>
                <w:b/>
                <w:sz w:val="21"/>
              </w:rPr>
              <w:t>95% CVaR（1日）</w:t>
            </w:r>
          </w:p>
        </w:tc>
      </w:tr>
      <w:tr>
        <w:trPr>
          <w:cantSplit/>
        </w:trPr>
        <w:tc>
          <w:tcPr>
            <w:tcW w:type="dxa" w:w="3515"/>
            <w:vAlign w:val="center"/>
          </w:tcPr>
          <w:p>
            <w:pPr>
              <w:spacing w:line="240" w:lineRule="auto"/>
              <w:ind w:firstLine="0" w:left="0" w:right="0"/>
              <w:jc w:val="left"/>
            </w:pPr>
            <w:r>
              <w:rPr>
                <w:rFonts w:ascii="Times New Roman" w:hAnsi="Times New Roman" w:eastAsia="宋体"/>
                <w:b w:val="0"/>
                <w:sz w:val="21"/>
              </w:rPr>
              <w:t>历史模拟法（500日样本）</w:t>
            </w:r>
          </w:p>
        </w:tc>
        <w:tc>
          <w:tcPr>
            <w:tcW w:type="dxa" w:w="2381"/>
            <w:vAlign w:val="center"/>
          </w:tcPr>
          <w:p>
            <w:pPr>
              <w:spacing w:line="240" w:lineRule="auto"/>
              <w:ind w:firstLine="0" w:left="0" w:right="0"/>
              <w:jc w:val="center"/>
            </w:pPr>
            <w:r>
              <w:rPr>
                <w:rFonts w:ascii="Times New Roman" w:hAnsi="Times New Roman" w:eastAsia="宋体"/>
                <w:b w:val="0"/>
                <w:sz w:val="21"/>
              </w:rPr>
              <w:t>-0.90%</w:t>
            </w:r>
          </w:p>
        </w:tc>
        <w:tc>
          <w:tcPr>
            <w:tcW w:type="dxa" w:w="2381"/>
            <w:vAlign w:val="center"/>
          </w:tcPr>
          <w:p>
            <w:pPr>
              <w:spacing w:line="240" w:lineRule="auto"/>
              <w:ind w:firstLine="0" w:left="0" w:right="0"/>
              <w:jc w:val="center"/>
            </w:pPr>
            <w:r>
              <w:rPr>
                <w:rFonts w:ascii="Times New Roman" w:hAnsi="Times New Roman" w:eastAsia="宋体"/>
                <w:b w:val="0"/>
                <w:sz w:val="21"/>
              </w:rPr>
              <w:t>-1.09%</w:t>
            </w:r>
          </w:p>
        </w:tc>
      </w:tr>
      <w:tr>
        <w:trPr>
          <w:cantSplit/>
        </w:trPr>
        <w:tc>
          <w:tcPr>
            <w:tcW w:type="dxa" w:w="3515"/>
            <w:vAlign w:val="center"/>
          </w:tcPr>
          <w:p>
            <w:pPr>
              <w:spacing w:line="240" w:lineRule="auto"/>
              <w:ind w:firstLine="0" w:left="0" w:right="0"/>
              <w:jc w:val="left"/>
            </w:pPr>
            <w:r>
              <w:rPr>
                <w:rFonts w:ascii="Times New Roman" w:hAnsi="Times New Roman" w:eastAsia="宋体"/>
                <w:b w:val="0"/>
                <w:sz w:val="21"/>
              </w:rPr>
              <w:t>参数法（正态近似）</w:t>
            </w:r>
          </w:p>
        </w:tc>
        <w:tc>
          <w:tcPr>
            <w:tcW w:type="dxa" w:w="2381"/>
            <w:vAlign w:val="center"/>
          </w:tcPr>
          <w:p>
            <w:pPr>
              <w:spacing w:line="240" w:lineRule="auto"/>
              <w:ind w:firstLine="0" w:left="0" w:right="0"/>
              <w:jc w:val="center"/>
            </w:pPr>
            <w:r>
              <w:rPr>
                <w:rFonts w:ascii="Times New Roman" w:hAnsi="Times New Roman" w:eastAsia="宋体"/>
                <w:b w:val="0"/>
                <w:sz w:val="21"/>
              </w:rPr>
              <w:t>-1.19%</w:t>
            </w:r>
          </w:p>
        </w:tc>
        <w:tc>
          <w:tcPr>
            <w:tcW w:type="dxa" w:w="2381"/>
            <w:vAlign w:val="center"/>
          </w:tcPr>
          <w:p>
            <w:pPr>
              <w:spacing w:line="240" w:lineRule="auto"/>
              <w:ind w:firstLine="0" w:left="0" w:right="0"/>
              <w:jc w:val="center"/>
            </w:pPr>
            <w:r>
              <w:rPr>
                <w:rFonts w:ascii="Times New Roman" w:hAnsi="Times New Roman" w:eastAsia="宋体"/>
                <w:b w:val="0"/>
                <w:sz w:val="21"/>
              </w:rPr>
              <w:t>-1.50%</w:t>
            </w:r>
          </w:p>
        </w:tc>
      </w:tr>
    </w:tbl>
    <w:p>
      <w:pPr>
        <w:spacing w:after="240"/>
      </w:pPr>
      <w:r>
        <w:rPr>
          <w:rFonts w:ascii="Times New Roman" w:hAnsi="Times New Roman" w:eastAsia="宋体"/>
          <w:color w:val="767676"/>
          <w:sz w:val="18"/>
        </w:rPr>
        <w:t>数据来源：run_portfolio.py 模拟数据实跑输出（随机种子99）。参数法由月度参数换算为日度口径。</w:t>
      </w:r>
    </w:p>
    <w:p>
      <w:pPr>
        <w:jc w:val="both"/>
      </w:pPr>
      <w:r>
        <w:t>补充口径：基于500日样本，组合年化波动9.11%、年化收益17.60%、年化夏普1.93，与月度参数理论值（年化波动11.91%、年化收益11.25%）的差异来自样本路径的抽样波动，属正常现象。</w:t>
      </w:r>
    </w:p>
    <w:p>
      <w:pPr>
        <w:pStyle w:val="Heading1"/>
        <w:spacing w:before="280" w:after="120"/>
      </w:pPr>
      <w:r>
        <w:t>5 压力测试</w:t>
      </w:r>
    </w:p>
    <w:p>
      <w:pPr>
        <w:jc w:val="both"/>
      </w:pPr>
      <w:r>
        <w:t>结论：压力测试不依赖概率假设，直接考察极端情景的损失与应对。本组合在单日损失30%及以上情景须执行减仓或对冲，建议以单日20%作为预警线。</w:t>
      </w:r>
    </w:p>
    <w:p>
      <w:pPr>
        <w:spacing w:before="80" w:after="240"/>
        <w:jc w:val="center"/>
      </w:pPr>
      <w:r>
        <w:rPr>
          <w:rFonts w:ascii="Times New Roman" w:hAnsi="Times New Roman" w:eastAsia="宋体"/>
          <w:color w:val="000000"/>
          <w:sz w:val="21"/>
        </w:rPr>
        <w:t>表3　压力情景与应对动作</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2381"/>
            <w:shd w:val="clear" w:color="auto" w:fill="D9D9D9"/>
            <w:vAlign w:val="center"/>
          </w:tcPr>
          <w:p>
            <w:pPr>
              <w:spacing w:line="240" w:lineRule="auto"/>
              <w:ind w:firstLine="0" w:left="0" w:right="0"/>
              <w:jc w:val="center"/>
            </w:pPr>
            <w:r>
              <w:rPr>
                <w:rFonts w:ascii="Times New Roman" w:hAnsi="Times New Roman" w:eastAsia="宋体"/>
                <w:b/>
                <w:sz w:val="21"/>
              </w:rPr>
              <w:t>情景</w:t>
            </w:r>
          </w:p>
        </w:tc>
        <w:tc>
          <w:tcPr>
            <w:tcW w:type="dxa" w:w="3515"/>
            <w:shd w:val="clear" w:color="auto" w:fill="D9D9D9"/>
            <w:vAlign w:val="center"/>
          </w:tcPr>
          <w:p>
            <w:pPr>
              <w:spacing w:line="240" w:lineRule="auto"/>
              <w:ind w:firstLine="0" w:left="0" w:right="0"/>
              <w:jc w:val="center"/>
            </w:pPr>
            <w:r>
              <w:rPr>
                <w:rFonts w:ascii="Times New Roman" w:hAnsi="Times New Roman" w:eastAsia="宋体"/>
                <w:b/>
                <w:sz w:val="21"/>
              </w:rPr>
              <w:t>组合单日损失（假设）</w:t>
            </w:r>
          </w:p>
        </w:tc>
        <w:tc>
          <w:tcPr>
            <w:tcW w:type="dxa" w:w="2381"/>
            <w:shd w:val="clear" w:color="auto" w:fill="D9D9D9"/>
            <w:vAlign w:val="center"/>
          </w:tcPr>
          <w:p>
            <w:pPr>
              <w:spacing w:line="240" w:lineRule="auto"/>
              <w:ind w:firstLine="0" w:left="0" w:right="0"/>
              <w:jc w:val="center"/>
            </w:pPr>
            <w:r>
              <w:rPr>
                <w:rFonts w:ascii="Times New Roman" w:hAnsi="Times New Roman" w:eastAsia="宋体"/>
                <w:b/>
                <w:sz w:val="21"/>
              </w:rPr>
              <w:t>应对动作</w:t>
            </w:r>
          </w:p>
        </w:tc>
      </w:tr>
      <w:tr>
        <w:trPr>
          <w:cantSplit/>
        </w:trPr>
        <w:tc>
          <w:tcPr>
            <w:tcW w:type="dxa" w:w="2381"/>
            <w:vAlign w:val="center"/>
          </w:tcPr>
          <w:p>
            <w:pPr>
              <w:spacing w:line="240" w:lineRule="auto"/>
              <w:ind w:firstLine="0" w:left="0" w:right="0"/>
              <w:jc w:val="left"/>
            </w:pPr>
            <w:r>
              <w:rPr>
                <w:rFonts w:ascii="Times New Roman" w:hAnsi="Times New Roman" w:eastAsia="宋体"/>
                <w:b w:val="0"/>
                <w:sz w:val="21"/>
              </w:rPr>
              <w:t>温和熊市</w:t>
            </w:r>
          </w:p>
        </w:tc>
        <w:tc>
          <w:tcPr>
            <w:tcW w:type="dxa" w:w="3515"/>
            <w:vAlign w:val="center"/>
          </w:tcPr>
          <w:p>
            <w:pPr>
              <w:spacing w:line="240" w:lineRule="auto"/>
              <w:ind w:firstLine="0" w:left="0" w:right="0"/>
              <w:jc w:val="center"/>
            </w:pPr>
            <w:r>
              <w:rPr>
                <w:rFonts w:ascii="Times New Roman" w:hAnsi="Times New Roman" w:eastAsia="宋体"/>
                <w:b w:val="0"/>
                <w:sz w:val="21"/>
              </w:rPr>
              <w:t>约-10%</w:t>
            </w:r>
          </w:p>
        </w:tc>
        <w:tc>
          <w:tcPr>
            <w:tcW w:type="dxa" w:w="2381"/>
            <w:vAlign w:val="center"/>
          </w:tcPr>
          <w:p>
            <w:pPr>
              <w:spacing w:line="240" w:lineRule="auto"/>
              <w:ind w:firstLine="0" w:left="0" w:right="0"/>
              <w:jc w:val="center"/>
            </w:pPr>
            <w:r>
              <w:rPr>
                <w:rFonts w:ascii="Times New Roman" w:hAnsi="Times New Roman" w:eastAsia="宋体"/>
                <w:b w:val="0"/>
                <w:sz w:val="21"/>
              </w:rPr>
              <w:t>持有观察</w:t>
            </w:r>
          </w:p>
        </w:tc>
      </w:tr>
      <w:tr>
        <w:trPr>
          <w:cantSplit/>
        </w:trPr>
        <w:tc>
          <w:tcPr>
            <w:tcW w:type="dxa" w:w="2381"/>
            <w:vAlign w:val="center"/>
          </w:tcPr>
          <w:p>
            <w:pPr>
              <w:spacing w:line="240" w:lineRule="auto"/>
              <w:ind w:firstLine="0" w:left="0" w:right="0"/>
              <w:jc w:val="left"/>
            </w:pPr>
            <w:r>
              <w:rPr>
                <w:rFonts w:ascii="Times New Roman" w:hAnsi="Times New Roman" w:eastAsia="宋体"/>
                <w:b w:val="0"/>
                <w:sz w:val="21"/>
              </w:rPr>
              <w:t>金融危机</w:t>
            </w:r>
          </w:p>
        </w:tc>
        <w:tc>
          <w:tcPr>
            <w:tcW w:type="dxa" w:w="3515"/>
            <w:vAlign w:val="center"/>
          </w:tcPr>
          <w:p>
            <w:pPr>
              <w:spacing w:line="240" w:lineRule="auto"/>
              <w:ind w:firstLine="0" w:left="0" w:right="0"/>
              <w:jc w:val="center"/>
            </w:pPr>
            <w:r>
              <w:rPr>
                <w:rFonts w:ascii="Times New Roman" w:hAnsi="Times New Roman" w:eastAsia="宋体"/>
                <w:b w:val="0"/>
                <w:sz w:val="21"/>
              </w:rPr>
              <w:t>约-30%</w:t>
            </w:r>
          </w:p>
        </w:tc>
        <w:tc>
          <w:tcPr>
            <w:tcW w:type="dxa" w:w="2381"/>
            <w:vAlign w:val="center"/>
          </w:tcPr>
          <w:p>
            <w:pPr>
              <w:spacing w:line="240" w:lineRule="auto"/>
              <w:ind w:firstLine="0" w:left="0" w:right="0"/>
              <w:jc w:val="center"/>
            </w:pPr>
            <w:r>
              <w:rPr>
                <w:rFonts w:ascii="Times New Roman" w:hAnsi="Times New Roman" w:eastAsia="宋体"/>
                <w:b w:val="0"/>
                <w:sz w:val="21"/>
              </w:rPr>
              <w:t>减仓/对冲</w:t>
            </w:r>
          </w:p>
        </w:tc>
      </w:tr>
      <w:tr>
        <w:trPr>
          <w:cantSplit/>
        </w:trPr>
        <w:tc>
          <w:tcPr>
            <w:tcW w:type="dxa" w:w="2381"/>
            <w:vAlign w:val="center"/>
          </w:tcPr>
          <w:p>
            <w:pPr>
              <w:spacing w:line="240" w:lineRule="auto"/>
              <w:ind w:firstLine="0" w:left="0" w:right="0"/>
              <w:jc w:val="left"/>
            </w:pPr>
            <w:r>
              <w:rPr>
                <w:rFonts w:ascii="Times New Roman" w:hAnsi="Times New Roman" w:eastAsia="宋体"/>
                <w:b w:val="0"/>
                <w:sz w:val="21"/>
              </w:rPr>
              <w:t>极端黑天鹅</w:t>
            </w:r>
          </w:p>
        </w:tc>
        <w:tc>
          <w:tcPr>
            <w:tcW w:type="dxa" w:w="3515"/>
            <w:vAlign w:val="center"/>
          </w:tcPr>
          <w:p>
            <w:pPr>
              <w:spacing w:line="240" w:lineRule="auto"/>
              <w:ind w:firstLine="0" w:left="0" w:right="0"/>
              <w:jc w:val="center"/>
            </w:pPr>
            <w:r>
              <w:rPr>
                <w:rFonts w:ascii="Times New Roman" w:hAnsi="Times New Roman" w:eastAsia="宋体"/>
                <w:b w:val="0"/>
                <w:sz w:val="21"/>
              </w:rPr>
              <w:t>约-50%</w:t>
            </w:r>
          </w:p>
        </w:tc>
        <w:tc>
          <w:tcPr>
            <w:tcW w:type="dxa" w:w="2381"/>
            <w:vAlign w:val="center"/>
          </w:tcPr>
          <w:p>
            <w:pPr>
              <w:spacing w:line="240" w:lineRule="auto"/>
              <w:ind w:firstLine="0" w:left="0" w:right="0"/>
              <w:jc w:val="center"/>
            </w:pPr>
            <w:r>
              <w:rPr>
                <w:rFonts w:ascii="Times New Roman" w:hAnsi="Times New Roman" w:eastAsia="宋体"/>
                <w:b w:val="0"/>
                <w:sz w:val="21"/>
              </w:rPr>
              <w:t>减仓/对冲</w:t>
            </w:r>
          </w:p>
        </w:tc>
      </w:tr>
    </w:tbl>
    <w:p>
      <w:pPr>
        <w:spacing w:after="240"/>
      </w:pPr>
      <w:r>
        <w:rPr>
          <w:rFonts w:ascii="Times New Roman" w:hAnsi="Times New Roman" w:eastAsia="宋体"/>
          <w:color w:val="767676"/>
          <w:sz w:val="18"/>
        </w:rPr>
        <w:t>数据来源：示意情景假设，损失幅度为情景设定值。</w:t>
      </w:r>
    </w:p>
    <w:p>
      <w:pPr>
        <w:pStyle w:val="Heading1"/>
        <w:spacing w:before="280" w:after="120"/>
      </w:pPr>
      <w:r>
        <w:t>6 结论与建议</w:t>
      </w:r>
    </w:p>
    <w:p>
      <w:pPr>
        <w:jc w:val="both"/>
      </w:pPr>
      <w:r>
        <w:t>结论：推荐组合的风险收益特征符合中低风险偏好；日常尾部风险可控（单日95% VaR不超过1.2%），极端情景损失可控但必须预先设定应对预案。</w:t>
      </w:r>
    </w:p>
    <w:p>
      <w:pPr>
        <w:jc w:val="both"/>
      </w:pPr>
      <w:r>
        <w:t>建议一：以最大夏普组合为基准配置，按季度执行再平衡，将权重拉回目标区间。</w:t>
      </w:r>
    </w:p>
    <w:p>
      <w:pPr>
        <w:jc w:val="both"/>
      </w:pPr>
      <w:r>
        <w:t>建议二：设定单日下跌20%的减仓预警线，并配套股指期货或期权对冲预案，极端情景触发后执行。</w:t>
      </w:r>
    </w:p>
    <w:p>
      <w:pPr>
        <w:jc w:val="both"/>
      </w:pPr>
      <w:r>
        <w:t>建议三：每季度复核绩效归因与风险度量口径，压力测试情景库随市场环境更新，防止预案失效。</w:t>
      </w:r>
    </w:p>
    <w:p>
      <w:pPr>
        <w:pStyle w:val="Heading1"/>
        <w:spacing w:before="280" w:after="120"/>
      </w:pPr>
      <w:r>
        <w:t>7 附注</w:t>
      </w:r>
    </w:p>
    <w:p>
      <w:pPr>
        <w:jc w:val="both"/>
      </w:pPr>
      <w:r>
        <w:t>口径说明：组合概况采用月度参数理论值；风险度量采用日度口径，年化换算按√12（月度）与√250（日度）。VaR与CVaR分别报告历史模拟法与参数法两种结果。全部数字来自固定随机种子的模拟数据（种子2026、7、99），可完整复现。本报告为方法论演示，不构成投资建议。</w:t>
      </w:r>
    </w:p>
    <w:sectPr w:rsidR="00FC693F" w:rsidRPr="0006063C" w:rsidSect="00034616">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