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6181C"/>
          <w:sz w:val="44"/>
        </w:rPr>
        <w:t>ESTADO ACTUAL DE LA APP</w:t>
        <w:br/>
        <w:t>HERRAMIENTAS TÉCNICAS</w:t>
      </w:r>
    </w:p>
    <w:p>
      <w:pPr>
        <w:spacing w:after="80"/>
      </w:pPr>
      <w:r>
        <w:rPr>
          <w:b/>
          <w:color w:val="9A5A2B"/>
          <w:sz w:val="26"/>
        </w:rPr>
        <w:t>ADONAI ELECTRICAL · Energía con Propósito</w:t>
      </w:r>
    </w:p>
    <w:p>
      <w:pPr>
        <w:spacing w:after="240"/>
      </w:pPr>
      <w:r>
        <w:rPr>
          <w:color w:val="585D66"/>
          <w:sz w:val="19"/>
        </w:rPr>
        <w:t>Versión documentada: Paso 16 — Cierre profesional de obra   ·   Motor de cálculo 3.0.0   ·   Paquete normativo 2.2-cierre-profesional   ·   Esquema de datos v14   ·   PWA cache v16   ·   22 de septiembre de 2026</w:t>
      </w:r>
    </w:p>
    <w:p>
      <w:pPr>
        <w:spacing w:after="160"/>
      </w:pPr>
      <w:r>
        <w:rPr>
          <w:b w:val="0"/>
          <w:color w:val="585D66"/>
          <w:sz w:val="20"/>
        </w:rPr>
        <w:t>Documento técnico interno — descripción funcional, criterios de cálculo, verificaciones y salidas de la aplicación. Actualiza la versión anterior (documentada al Paso 15) con lo agregado en el Paso 16 y una corrección normativa posterior sobre el uso de fusibles.</w:t>
      </w:r>
    </w:p>
    <w:p/>
    <w:p>
      <w:pPr>
        <w:pStyle w:val="Heading1"/>
      </w:pPr>
      <w:r>
        <w:t>1. Resumen ejecutivo</w:t>
      </w:r>
    </w:p>
    <w:p>
      <w:pPr>
        <w:spacing w:after="160"/>
      </w:pPr>
      <w:r>
        <w:rPr>
          <w:b w:val="0"/>
          <w:sz w:val="21"/>
        </w:rPr>
        <w:t>ADONAI Herramientas Técnicas es una aplicación interna para relevamiento, dimensionado, verificación eléctrica, preparación de materiales, presupuesto y generación de memoria técnica. El objetivo actual no es reemplazar el criterio del técnico responsable, sino ordenar los datos de la instalación y evitar que un cálculo se cierre como correcto cuando faltan mediciones, parámetros o validaciones indispensables.</w:t>
      </w:r>
    </w:p>
    <w:p>
      <w:pPr>
        <w:spacing w:after="160"/>
      </w:pPr>
      <w:r>
        <w:rPr>
          <w:b w:val="0"/>
          <w:sz w:val="21"/>
        </w:rPr>
        <w:t>La aplicación trabaja con tres estados técnicos: Verificado, Pendiente y No cumple. La lógica desarrollada desde los Pasos 4 a 14 fue endureciendo progresivamente la memoria para reducir falsos "Verificado". El Paso 15 mejoró la presentación documental (resumen técnico global y pie de página versionado), y el Paso 16 agrega una “revisión final de obra”: un estado documental de cierre — Listo para emitir / Pendiente / No cumple — y la generación de un Expediente Técnico completo con memoria, protocolo, unifilar, declaración/firma del responsable y anexos fotográficos.</w:t>
      </w:r>
    </w:p>
    <w:tbl>
      <w:tblPr>
        <w:tblStyle w:val="TableGrid"/>
        <w:tblW w:type="auto" w:w="0"/>
        <w:jc w:val="center"/>
        <w:tblLook w:firstColumn="1" w:firstRow="1" w:lastColumn="0" w:lastRow="0" w:noHBand="0" w:noVBand="1" w:val="04A0"/>
      </w:tblPr>
      <w:tblGrid>
        <w:gridCol w:w="4986"/>
        <w:gridCol w:w="4986"/>
      </w:tblGrid>
      <w:tr>
        <w:tc>
          <w:tcPr>
            <w:tcW w:type="dxa" w:w="4986"/>
            <w:shd w:val="clear" w:fill="E7E7E7"/>
          </w:tcPr>
          <w:p>
            <w:r>
              <w:rPr>
                <w:b/>
                <w:sz w:val="19"/>
              </w:rPr>
              <w:t>Elemento</w:t>
            </w:r>
          </w:p>
        </w:tc>
        <w:tc>
          <w:tcPr>
            <w:tcW w:type="dxa" w:w="4986"/>
            <w:shd w:val="clear" w:fill="E7E7E7"/>
          </w:tcPr>
          <w:p>
            <w:r>
              <w:rPr>
                <w:b/>
                <w:sz w:val="19"/>
              </w:rPr>
              <w:t>Estado actual</w:t>
            </w:r>
          </w:p>
        </w:tc>
      </w:tr>
      <w:tr>
        <w:tc>
          <w:tcPr>
            <w:tcW w:type="dxa" w:w="4986"/>
          </w:tcPr>
          <w:p>
            <w:r>
              <w:rPr>
                <w:sz w:val="19"/>
              </w:rPr>
              <w:t>Motor de cálculo</w:t>
            </w:r>
          </w:p>
        </w:tc>
        <w:tc>
          <w:tcPr>
            <w:tcW w:type="dxa" w:w="4986"/>
          </w:tcPr>
          <w:p>
            <w:r>
              <w:rPr>
                <w:sz w:val="19"/>
              </w:rPr>
              <w:t>3.0.0</w:t>
            </w:r>
          </w:p>
        </w:tc>
      </w:tr>
      <w:tr>
        <w:tc>
          <w:tcPr>
            <w:tcW w:type="dxa" w:w="4986"/>
          </w:tcPr>
          <w:p>
            <w:r>
              <w:rPr>
                <w:sz w:val="19"/>
              </w:rPr>
              <w:t>Paquete normativo</w:t>
            </w:r>
          </w:p>
        </w:tc>
        <w:tc>
          <w:tcPr>
            <w:tcW w:type="dxa" w:w="4986"/>
          </w:tcPr>
          <w:p>
            <w:r>
              <w:rPr>
                <w:sz w:val="19"/>
              </w:rPr>
              <w:t>2.2-cierre-profesional</w:t>
            </w:r>
          </w:p>
        </w:tc>
      </w:tr>
      <w:tr>
        <w:tc>
          <w:tcPr>
            <w:tcW w:type="dxa" w:w="4986"/>
          </w:tcPr>
          <w:p>
            <w:r>
              <w:rPr>
                <w:sz w:val="19"/>
              </w:rPr>
              <w:t>Esquema de datos</w:t>
            </w:r>
          </w:p>
        </w:tc>
        <w:tc>
          <w:tcPr>
            <w:tcW w:type="dxa" w:w="4986"/>
          </w:tcPr>
          <w:p>
            <w:r>
              <w:rPr>
                <w:sz w:val="19"/>
              </w:rPr>
              <w:t>v14</w:t>
            </w:r>
          </w:p>
        </w:tc>
      </w:tr>
      <w:tr>
        <w:tc>
          <w:tcPr>
            <w:tcW w:type="dxa" w:w="4986"/>
          </w:tcPr>
          <w:p>
            <w:r>
              <w:rPr>
                <w:sz w:val="19"/>
              </w:rPr>
              <w:t>PWA / caché offline</w:t>
            </w:r>
          </w:p>
        </w:tc>
        <w:tc>
          <w:tcPr>
            <w:tcW w:type="dxa" w:w="4986"/>
          </w:tcPr>
          <w:p>
            <w:r>
              <w:rPr>
                <w:sz w:val="19"/>
              </w:rPr>
              <w:t>v16</w:t>
            </w:r>
          </w:p>
        </w:tc>
      </w:tr>
      <w:tr>
        <w:tc>
          <w:tcPr>
            <w:tcW w:type="dxa" w:w="4986"/>
          </w:tcPr>
          <w:p>
            <w:r>
              <w:rPr>
                <w:sz w:val="19"/>
              </w:rPr>
              <w:t>Base normativa principal</w:t>
            </w:r>
          </w:p>
        </w:tc>
        <w:tc>
          <w:tcPr>
            <w:tcW w:type="dxa" w:w="4986"/>
          </w:tcPr>
          <w:p>
            <w:r>
              <w:rPr>
                <w:sz w:val="19"/>
              </w:rPr>
              <w:t>Reglamento de Baja Tensión de UTE</w:t>
            </w:r>
          </w:p>
        </w:tc>
      </w:tr>
      <w:tr>
        <w:tc>
          <w:tcPr>
            <w:tcW w:type="dxa" w:w="4986"/>
          </w:tcPr>
          <w:p>
            <w:r>
              <w:rPr>
                <w:sz w:val="19"/>
              </w:rPr>
              <w:t>Referencias complementarias</w:t>
            </w:r>
          </w:p>
        </w:tc>
        <w:tc>
          <w:tcPr>
            <w:tcW w:type="dxa" w:w="4986"/>
          </w:tcPr>
          <w:p>
            <w:r>
              <w:rPr>
                <w:sz w:val="19"/>
              </w:rPr>
              <w:t>IEC 60364 (4-41, 5-52, 5-53, 5-54, 6), IEC 60898-1, Comunicado UTE 26002 y criterios técnicos documentados en cada módulo</w:t>
            </w:r>
          </w:p>
        </w:tc>
      </w:tr>
      <w:tr>
        <w:tc>
          <w:tcPr>
            <w:tcW w:type="dxa" w:w="4986"/>
          </w:tcPr>
          <w:p>
            <w:r>
              <w:rPr>
                <w:sz w:val="19"/>
              </w:rPr>
              <w:t>Tipo de aplicación</w:t>
            </w:r>
          </w:p>
        </w:tc>
        <w:tc>
          <w:tcPr>
            <w:tcW w:type="dxa" w:w="4986"/>
          </w:tcPr>
          <w:p>
            <w:r>
              <w:rPr>
                <w:sz w:val="19"/>
              </w:rPr>
              <w:t>PWA / HTML local; datos guardados en el dispositivo</w:t>
            </w:r>
          </w:p>
        </w:tc>
      </w:tr>
      <w:tr>
        <w:tc>
          <w:tcPr>
            <w:tcW w:type="dxa" w:w="4986"/>
          </w:tcPr>
          <w:p>
            <w:r>
              <w:rPr>
                <w:sz w:val="19"/>
              </w:rPr>
              <w:t>Salida principal</w:t>
            </w:r>
          </w:p>
        </w:tc>
        <w:tc>
          <w:tcPr>
            <w:tcW w:type="dxa" w:w="4986"/>
          </w:tcPr>
          <w:p>
            <w:r>
              <w:rPr>
                <w:sz w:val="19"/>
              </w:rPr>
              <w:t>Memoria técnica interna + presupuesto + materiales + protocolo de ensayos + expediente técnico de cierre</w:t>
            </w:r>
          </w:p>
        </w:tc>
      </w:tr>
    </w:tbl>
    <w:p/>
    <w:p>
      <w:pPr>
        <w:pStyle w:val="Heading1"/>
      </w:pPr>
      <w:r>
        <w:t>2. Alcance de la aplicación</w:t>
      </w:r>
    </w:p>
    <w:p>
      <w:pPr>
        <w:spacing w:after="160"/>
      </w:pPr>
      <w:r>
        <w:rPr>
          <w:b w:val="0"/>
          <w:sz w:val="21"/>
        </w:rPr>
        <w:t>La app está orientada a trabajos de electricidad residencial e industrial y contempla instalaciones nuevas, ampliaciones, modificaciones, reparaciones y emergencias. Según la naturaleza del trabajo, cambia el nivel de exigencia documental: en instalaciones existentes no da por supuesto que la protección general, el diferencial, la puesta a tierra o el alimentador sean correctos; esos elementos deben relevarse.</w:t>
      </w:r>
    </w:p>
    <w:p>
      <w:pPr>
        <w:pStyle w:val="ListBullet"/>
      </w:pPr>
      <w:r>
        <w:rPr>
          <w:sz w:val="21"/>
        </w:rPr>
        <w:t>Crear y administrar trabajos y clientes.</w:t>
      </w:r>
    </w:p>
    <w:p>
      <w:pPr>
        <w:pStyle w:val="ListBullet"/>
      </w:pPr>
      <w:r>
        <w:rPr>
          <w:sz w:val="21"/>
        </w:rPr>
        <w:t>Relevar obra, sistema eléctrico, cargas, circuitos, protecciones y puesta a tierra.</w:t>
      </w:r>
    </w:p>
    <w:p>
      <w:pPr>
        <w:pStyle w:val="ListBullet"/>
      </w:pPr>
      <w:r>
        <w:rPr>
          <w:sz w:val="21"/>
        </w:rPr>
        <w:t>Calcular demanda, corriente, sección de conductores, caída de tensión y protecciones.</w:t>
      </w:r>
    </w:p>
    <w:p>
      <w:pPr>
        <w:pStyle w:val="ListBullet"/>
      </w:pPr>
      <w:r>
        <w:rPr>
          <w:sz w:val="21"/>
        </w:rPr>
        <w:t>Auditar cortocircuito, selectividad, balance de fases, alimentador, PE y contactos indirectos.</w:t>
      </w:r>
    </w:p>
    <w:p>
      <w:pPr>
        <w:pStyle w:val="ListBullet"/>
      </w:pPr>
      <w:r>
        <w:rPr>
          <w:sz w:val="21"/>
        </w:rPr>
        <w:t>Registrar ensayos de puesta en servicio.</w:t>
      </w:r>
    </w:p>
    <w:p>
      <w:pPr>
        <w:pStyle w:val="ListBullet"/>
      </w:pPr>
      <w:r>
        <w:rPr>
          <w:sz w:val="21"/>
        </w:rPr>
        <w:t>Generar materiales, costos, presupuesto y PDF técnico interno.</w:t>
      </w:r>
    </w:p>
    <w:p>
      <w:pPr>
        <w:pStyle w:val="ListBullet"/>
      </w:pPr>
      <w:r>
        <w:rPr>
          <w:sz w:val="21"/>
        </w:rPr>
        <w:t>Cerrar la obra: revisión final, responsable técnico y expediente técnico completo (Paso 16).</w:t>
      </w:r>
    </w:p>
    <w:p>
      <w:pPr>
        <w:pStyle w:val="ListBullet"/>
      </w:pPr>
      <w:r>
        <w:rPr>
          <w:sz w:val="21"/>
        </w:rPr>
        <w:t>Trabajar sin conexión después de la instalación/carga de recursos.</w:t>
      </w:r>
    </w:p>
    <w:p>
      <w:pPr>
        <w:pStyle w:val="Heading1"/>
      </w:pPr>
      <w:r>
        <w:t>3. Flujo de trabajo y pantallas</w:t>
      </w:r>
    </w:p>
    <w:tbl>
      <w:tblPr>
        <w:tblStyle w:val="TableGrid"/>
        <w:tblW w:type="auto" w:w="0"/>
        <w:jc w:val="center"/>
        <w:tblLook w:firstColumn="1" w:firstRow="1" w:lastColumn="0" w:lastRow="0" w:noHBand="0" w:noVBand="1" w:val="04A0"/>
      </w:tblPr>
      <w:tblGrid>
        <w:gridCol w:w="4986"/>
        <w:gridCol w:w="4986"/>
      </w:tblGrid>
      <w:tr>
        <w:tc>
          <w:tcPr>
            <w:tcW w:type="dxa" w:w="4986"/>
            <w:shd w:val="clear" w:fill="E7E7E7"/>
          </w:tcPr>
          <w:p>
            <w:r>
              <w:rPr>
                <w:b/>
                <w:sz w:val="19"/>
              </w:rPr>
              <w:t>Pantalla / módulo</w:t>
            </w:r>
          </w:p>
        </w:tc>
        <w:tc>
          <w:tcPr>
            <w:tcW w:type="dxa" w:w="4986"/>
            <w:shd w:val="clear" w:fill="E7E7E7"/>
          </w:tcPr>
          <w:p>
            <w:r>
              <w:rPr>
                <w:b/>
                <w:sz w:val="19"/>
              </w:rPr>
              <w:t>Qué presenta actualmente</w:t>
            </w:r>
          </w:p>
        </w:tc>
      </w:tr>
      <w:tr>
        <w:tc>
          <w:tcPr>
            <w:tcW w:type="dxa" w:w="4986"/>
          </w:tcPr>
          <w:p>
            <w:r>
              <w:rPr>
                <w:sz w:val="19"/>
              </w:rPr>
              <w:t>Inicio</w:t>
            </w:r>
          </w:p>
        </w:tc>
        <w:tc>
          <w:tcPr>
            <w:tcW w:type="dxa" w:w="4986"/>
          </w:tcPr>
          <w:p>
            <w:r>
              <w:rPr>
                <w:sz w:val="19"/>
              </w:rPr>
              <w:t>Accesos a nuevo relevamiento, cálculos, trabajos, presupuestos y estado general de la app.</w:t>
            </w:r>
          </w:p>
        </w:tc>
      </w:tr>
      <w:tr>
        <w:tc>
          <w:tcPr>
            <w:tcW w:type="dxa" w:w="4986"/>
          </w:tcPr>
          <w:p>
            <w:r>
              <w:rPr>
                <w:sz w:val="19"/>
              </w:rPr>
              <w:t>Relevamiento</w:t>
            </w:r>
          </w:p>
        </w:tc>
        <w:tc>
          <w:tcPr>
            <w:tcW w:type="dxa" w:w="4986"/>
          </w:tcPr>
          <w:p>
            <w:r>
              <w:rPr>
                <w:sz w:val="19"/>
              </w:rPr>
              <w:t>Wizard principal: cliente, obra, sistema, cargas, circuitos, materiales, protecciones y resumen técnico.</w:t>
            </w:r>
          </w:p>
        </w:tc>
      </w:tr>
      <w:tr>
        <w:tc>
          <w:tcPr>
            <w:tcW w:type="dxa" w:w="4986"/>
          </w:tcPr>
          <w:p>
            <w:r>
              <w:rPr>
                <w:sz w:val="19"/>
              </w:rPr>
              <w:t>Conductor</w:t>
            </w:r>
          </w:p>
        </w:tc>
        <w:tc>
          <w:tcPr>
            <w:tcW w:type="dxa" w:w="4986"/>
          </w:tcPr>
          <w:p>
            <w:r>
              <w:rPr>
                <w:sz w:val="19"/>
              </w:rPr>
              <w:t>Herramienta de cálculo puntual de conductor y comprobaciones relacionadas.</w:t>
            </w:r>
          </w:p>
        </w:tc>
      </w:tr>
      <w:tr>
        <w:tc>
          <w:tcPr>
            <w:tcW w:type="dxa" w:w="4986"/>
          </w:tcPr>
          <w:p>
            <w:r>
              <w:rPr>
                <w:sz w:val="19"/>
              </w:rPr>
              <w:t>Cálculos</w:t>
            </w:r>
          </w:p>
        </w:tc>
        <w:tc>
          <w:tcPr>
            <w:tcW w:type="dxa" w:w="4986"/>
          </w:tcPr>
          <w:p>
            <w:r>
              <w:rPr>
                <w:sz w:val="19"/>
              </w:rPr>
              <w:t>Acceso a utilidades técnicas independientes del relevamiento.</w:t>
            </w:r>
          </w:p>
        </w:tc>
      </w:tr>
      <w:tr>
        <w:tc>
          <w:tcPr>
            <w:tcW w:type="dxa" w:w="4986"/>
          </w:tcPr>
          <w:p>
            <w:r>
              <w:rPr>
                <w:sz w:val="19"/>
              </w:rPr>
              <w:t>Trabajos</w:t>
            </w:r>
          </w:p>
        </w:tc>
        <w:tc>
          <w:tcPr>
            <w:tcW w:type="dxa" w:w="4986"/>
          </w:tcPr>
          <w:p>
            <w:r>
              <w:rPr>
                <w:sz w:val="19"/>
              </w:rPr>
              <w:t>Listado y reapertura de obras guardadas localmente.</w:t>
            </w:r>
          </w:p>
        </w:tc>
      </w:tr>
      <w:tr>
        <w:tc>
          <w:tcPr>
            <w:tcW w:type="dxa" w:w="4986"/>
          </w:tcPr>
          <w:p>
            <w:r>
              <w:rPr>
                <w:sz w:val="19"/>
              </w:rPr>
              <w:t>Presupuestos</w:t>
            </w:r>
          </w:p>
        </w:tc>
        <w:tc>
          <w:tcPr>
            <w:tcW w:type="dxa" w:w="4986"/>
          </w:tcPr>
          <w:p>
            <w:r>
              <w:rPr>
                <w:sz w:val="19"/>
              </w:rPr>
              <w:t>Listado de presupuestos, totales y acceso al detalle.</w:t>
            </w:r>
          </w:p>
        </w:tc>
      </w:tr>
      <w:tr>
        <w:tc>
          <w:tcPr>
            <w:tcW w:type="dxa" w:w="4986"/>
          </w:tcPr>
          <w:p>
            <w:r>
              <w:rPr>
                <w:sz w:val="19"/>
              </w:rPr>
              <w:t>Detalle de presupuesto</w:t>
            </w:r>
          </w:p>
        </w:tc>
        <w:tc>
          <w:tcPr>
            <w:tcW w:type="dxa" w:w="4986"/>
          </w:tcPr>
          <w:p>
            <w:r>
              <w:rPr>
                <w:sz w:val="19"/>
              </w:rPr>
              <w:t>Costos, materiales, mano de obra, condiciones y generación/compartición del PDF.</w:t>
            </w:r>
          </w:p>
        </w:tc>
      </w:tr>
      <w:tr>
        <w:tc>
          <w:tcPr>
            <w:tcW w:type="dxa" w:w="4986"/>
          </w:tcPr>
          <w:p>
            <w:r>
              <w:rPr>
                <w:sz w:val="19"/>
              </w:rPr>
              <w:t>Cierre profesional</w:t>
            </w:r>
          </w:p>
        </w:tc>
        <w:tc>
          <w:tcPr>
            <w:tcW w:type="dxa" w:w="4986"/>
          </w:tcPr>
          <w:p>
            <w:r>
              <w:rPr>
                <w:sz w:val="19"/>
              </w:rPr>
              <w:t>Responsable técnico, declaración, firma gráfica, anexos fotográficos y generación del expediente técnico (nuevo, Paso 16).</w:t>
            </w:r>
          </w:p>
        </w:tc>
      </w:tr>
      <w:tr>
        <w:tc>
          <w:tcPr>
            <w:tcW w:type="dxa" w:w="4986"/>
          </w:tcPr>
          <w:p>
            <w:r>
              <w:rPr>
                <w:sz w:val="19"/>
              </w:rPr>
              <w:t>Perfil</w:t>
            </w:r>
          </w:p>
        </w:tc>
        <w:tc>
          <w:tcPr>
            <w:tcW w:type="dxa" w:w="4986"/>
          </w:tcPr>
          <w:p>
            <w:r>
              <w:rPr>
                <w:sz w:val="19"/>
              </w:rPr>
              <w:t>Parámetros económicos, mano de obra, información de versión y respaldo/importación.</w:t>
            </w:r>
          </w:p>
        </w:tc>
      </w:tr>
      <w:tr>
        <w:tc>
          <w:tcPr>
            <w:tcW w:type="dxa" w:w="4986"/>
          </w:tcPr>
          <w:p>
            <w:r>
              <w:rPr>
                <w:sz w:val="19"/>
              </w:rPr>
              <w:t>Catálogo de precios</w:t>
            </w:r>
          </w:p>
        </w:tc>
        <w:tc>
          <w:tcPr>
            <w:tcW w:type="dxa" w:w="4986"/>
          </w:tcPr>
          <w:p>
            <w:r>
              <w:rPr>
                <w:sz w:val="19"/>
              </w:rPr>
              <w:t>Precios unitarios editables utilizados por el presupuesto.</w:t>
            </w:r>
          </w:p>
        </w:tc>
      </w:tr>
    </w:tbl>
    <w:p/>
    <w:p>
      <w:pPr>
        <w:pStyle w:val="Heading1"/>
      </w:pPr>
      <w:r>
        <w:t>4. Estados técnicos y filosofía de validación</w:t>
      </w:r>
    </w:p>
    <w:p>
      <w:pPr>
        <w:spacing w:after="160"/>
      </w:pPr>
      <w:r>
        <w:rPr>
          <w:b w:val="0"/>
          <w:sz w:val="21"/>
        </w:rPr>
        <w:t>La app distingue el resultado de cada comprobación y el estado global del trabajo. El estado global toma el peor estado entre circuitos, protección general, equipotencialidad, protocolo de ensayos y, desde el Paso 16, el propio cierre profesional.</w:t>
      </w:r>
    </w:p>
    <w:tbl>
      <w:tblPr>
        <w:tblStyle w:val="TableGrid"/>
        <w:tblW w:type="auto" w:w="0"/>
        <w:jc w:val="center"/>
        <w:tblLook w:firstColumn="1" w:firstRow="1" w:lastColumn="0" w:lastRow="0" w:noHBand="0" w:noVBand="1" w:val="04A0"/>
      </w:tblPr>
      <w:tblGrid>
        <w:gridCol w:w="4986"/>
        <w:gridCol w:w="4986"/>
      </w:tblGrid>
      <w:tr>
        <w:tc>
          <w:tcPr>
            <w:tcW w:type="dxa" w:w="4986"/>
            <w:shd w:val="clear" w:fill="E7E7E7"/>
          </w:tcPr>
          <w:p>
            <w:r>
              <w:rPr>
                <w:b/>
                <w:sz w:val="19"/>
              </w:rPr>
              <w:t>Estado</w:t>
            </w:r>
          </w:p>
        </w:tc>
        <w:tc>
          <w:tcPr>
            <w:tcW w:type="dxa" w:w="4986"/>
            <w:shd w:val="clear" w:fill="E7E7E7"/>
          </w:tcPr>
          <w:p>
            <w:r>
              <w:rPr>
                <w:b/>
                <w:sz w:val="19"/>
              </w:rPr>
              <w:t>Significado</w:t>
            </w:r>
          </w:p>
        </w:tc>
      </w:tr>
      <w:tr>
        <w:tc>
          <w:tcPr>
            <w:tcW w:type="dxa" w:w="4986"/>
          </w:tcPr>
          <w:p>
            <w:r>
              <w:rPr>
                <w:sz w:val="19"/>
              </w:rPr>
              <w:t>VERIFICADO</w:t>
            </w:r>
          </w:p>
        </w:tc>
        <w:tc>
          <w:tcPr>
            <w:tcW w:type="dxa" w:w="4986"/>
          </w:tcPr>
          <w:p>
            <w:r>
              <w:rPr>
                <w:sz w:val="19"/>
              </w:rPr>
              <w:t>Con los datos disponibles, la comprobación aplicable fue satisfecha. No significa que la app reemplace la responsabilidad profesional o una inspección reglamentaria.</w:t>
            </w:r>
          </w:p>
        </w:tc>
      </w:tr>
      <w:tr>
        <w:tc>
          <w:tcPr>
            <w:tcW w:type="dxa" w:w="4986"/>
          </w:tcPr>
          <w:p>
            <w:r>
              <w:rPr>
                <w:sz w:val="19"/>
              </w:rPr>
              <w:t>PENDIENTE</w:t>
            </w:r>
          </w:p>
        </w:tc>
        <w:tc>
          <w:tcPr>
            <w:tcW w:type="dxa" w:w="4986"/>
          </w:tcPr>
          <w:p>
            <w:r>
              <w:rPr>
                <w:sz w:val="19"/>
              </w:rPr>
              <w:t>Falta una medición, dato, selección, ensayo, curva de fabricante o confirmación necesaria para cerrar la comprobación.</w:t>
            </w:r>
          </w:p>
        </w:tc>
      </w:tr>
      <w:tr>
        <w:tc>
          <w:tcPr>
            <w:tcW w:type="dxa" w:w="4986"/>
          </w:tcPr>
          <w:p>
            <w:r>
              <w:rPr>
                <w:sz w:val="19"/>
              </w:rPr>
              <w:t>NO CUMPLE</w:t>
            </w:r>
          </w:p>
        </w:tc>
        <w:tc>
          <w:tcPr>
            <w:tcW w:type="dxa" w:w="4986"/>
          </w:tcPr>
          <w:p>
            <w:r>
              <w:rPr>
                <w:sz w:val="19"/>
              </w:rPr>
              <w:t>Existe al menos una condición calculada o ensayada que excede/no satisface el criterio aplicado.</w:t>
            </w:r>
          </w:p>
        </w:tc>
      </w:tr>
    </w:tbl>
    <w:p/>
    <w:p>
      <w:pPr>
        <w:spacing w:after="160"/>
      </w:pPr>
      <w:r>
        <w:rPr>
          <w:b/>
          <w:sz w:val="21"/>
        </w:rPr>
        <w:t>Regla central de diseño: cuando la aplicación no puede demostrar una condición con los datos disponibles, evita completar el resultado por inferencia y utiliza Pendiente.</w:t>
      </w:r>
    </w:p>
    <w:p>
      <w:pPr>
        <w:pStyle w:val="Heading1"/>
      </w:pPr>
      <w:r>
        <w:t>5. Cargas, potencia y demanda</w:t>
      </w:r>
    </w:p>
    <w:p>
      <w:pPr>
        <w:spacing w:after="160"/>
      </w:pPr>
      <w:r>
        <w:rPr>
          <w:b w:val="0"/>
          <w:sz w:val="21"/>
        </w:rPr>
        <w:t>El relevamiento permite cargar receptores y cargas fijas con potencia, factor de potencia y tipo de uso. El motor calcula potencia instalada y potencia demandada utilizando los factores configurados en el trabajo. Esa demanda alimenta el dimensionado del suministro, circuitos y alimentador general.</w:t>
      </w:r>
    </w:p>
    <w:p>
      <w:pPr>
        <w:pStyle w:val="ListBullet"/>
      </w:pPr>
      <w:r>
        <w:rPr>
          <w:sz w:val="21"/>
        </w:rPr>
        <w:t>Diferencia potencia instalada de potencia demandada.</w:t>
      </w:r>
    </w:p>
    <w:p>
      <w:pPr>
        <w:pStyle w:val="ListBullet"/>
      </w:pPr>
      <w:r>
        <w:rPr>
          <w:sz w:val="21"/>
        </w:rPr>
        <w:t>Considera factor de potencia cuando corresponde.</w:t>
      </w:r>
    </w:p>
    <w:p>
      <w:pPr>
        <w:pStyle w:val="ListBullet"/>
      </w:pPr>
      <w:r>
        <w:rPr>
          <w:sz w:val="21"/>
        </w:rPr>
        <w:t>Los circuitos conservan su propia condición 1φ/3φ; no heredan automáticamente el número de fases del suministro general.</w:t>
      </w:r>
    </w:p>
    <w:p>
      <w:pPr>
        <w:pStyle w:val="ListBullet"/>
      </w:pPr>
      <w:r>
        <w:rPr>
          <w:sz w:val="21"/>
        </w:rPr>
        <w:t>En suministros trifásicos, la app exige confirmar la alimentación real del circuito para evitar subestimar corriente en circuitos monofásicos.</w:t>
      </w:r>
    </w:p>
    <w:p>
      <w:pPr>
        <w:pStyle w:val="Heading1"/>
      </w:pPr>
      <w:r>
        <w:t>6. Dimensionado y comprobación de circuitos</w:t>
      </w:r>
    </w:p>
    <w:p>
      <w:pPr>
        <w:spacing w:after="160"/>
      </w:pPr>
      <w:r>
        <w:rPr>
          <w:b w:val="0"/>
          <w:sz w:val="21"/>
        </w:rPr>
        <w:t>Cada circuito se evalúa como una unidad técnica. La memoria conserva los datos de carga, método de instalación, sección, protección, caída de tensión, cortocircuito, fase asignada, PE, RCD y ensayos.</w:t>
      </w:r>
    </w:p>
    <w:tbl>
      <w:tblPr>
        <w:tblStyle w:val="TableGrid"/>
        <w:tblW w:type="auto" w:w="0"/>
        <w:jc w:val="center"/>
        <w:tblLook w:firstColumn="1" w:firstRow="1" w:lastColumn="0" w:lastRow="0" w:noHBand="0" w:noVBand="1" w:val="04A0"/>
      </w:tblPr>
      <w:tblGrid>
        <w:gridCol w:w="4986"/>
        <w:gridCol w:w="4986"/>
      </w:tblGrid>
      <w:tr>
        <w:tc>
          <w:tcPr>
            <w:tcW w:type="dxa" w:w="4986"/>
            <w:shd w:val="clear" w:fill="E7E7E7"/>
          </w:tcPr>
          <w:p>
            <w:r>
              <w:rPr>
                <w:b/>
                <w:sz w:val="19"/>
              </w:rPr>
              <w:t>Comprobación</w:t>
            </w:r>
          </w:p>
        </w:tc>
        <w:tc>
          <w:tcPr>
            <w:tcW w:type="dxa" w:w="4986"/>
            <w:shd w:val="clear" w:fill="E7E7E7"/>
          </w:tcPr>
          <w:p>
            <w:r>
              <w:rPr>
                <w:b/>
                <w:sz w:val="19"/>
              </w:rPr>
              <w:t>Comportamiento implementado</w:t>
            </w:r>
          </w:p>
        </w:tc>
      </w:tr>
      <w:tr>
        <w:tc>
          <w:tcPr>
            <w:tcW w:type="dxa" w:w="4986"/>
          </w:tcPr>
          <w:p>
            <w:r>
              <w:rPr>
                <w:sz w:val="19"/>
              </w:rPr>
              <w:t>Corriente de diseño (Ib)</w:t>
            </w:r>
          </w:p>
        </w:tc>
        <w:tc>
          <w:tcPr>
            <w:tcW w:type="dxa" w:w="4986"/>
          </w:tcPr>
          <w:p>
            <w:r>
              <w:rPr>
                <w:sz w:val="19"/>
              </w:rPr>
              <w:t>Se calcula desde potencia, tensión, fases y factor de potencia del circuito.</w:t>
            </w:r>
          </w:p>
        </w:tc>
      </w:tr>
      <w:tr>
        <w:tc>
          <w:tcPr>
            <w:tcW w:type="dxa" w:w="4986"/>
          </w:tcPr>
          <w:p>
            <w:r>
              <w:rPr>
                <w:sz w:val="19"/>
              </w:rPr>
              <w:t>Sección de conductor</w:t>
            </w:r>
          </w:p>
        </w:tc>
        <w:tc>
          <w:tcPr>
            <w:tcW w:type="dxa" w:w="4986"/>
          </w:tcPr>
          <w:p>
            <w:r>
              <w:rPr>
                <w:sz w:val="19"/>
              </w:rPr>
              <w:t>Se propone sección comercial respetando mínimos y capacidad de conducción corregida.</w:t>
            </w:r>
          </w:p>
        </w:tc>
      </w:tr>
      <w:tr>
        <w:tc>
          <w:tcPr>
            <w:tcW w:type="dxa" w:w="4986"/>
          </w:tcPr>
          <w:p>
            <w:r>
              <w:rPr>
                <w:sz w:val="19"/>
              </w:rPr>
              <w:t>Coordinación básica</w:t>
            </w:r>
          </w:p>
        </w:tc>
        <w:tc>
          <w:tcPr>
            <w:tcW w:type="dxa" w:w="4986"/>
          </w:tcPr>
          <w:p>
            <w:r>
              <w:rPr>
                <w:sz w:val="19"/>
              </w:rPr>
              <w:t>Se mantiene Ib ≤ In ≤ Iz.</w:t>
            </w:r>
          </w:p>
        </w:tc>
      </w:tr>
      <w:tr>
        <w:tc>
          <w:tcPr>
            <w:tcW w:type="dxa" w:w="4986"/>
          </w:tcPr>
          <w:p>
            <w:r>
              <w:rPr>
                <w:sz w:val="19"/>
              </w:rPr>
              <w:t>Margen interno ADONAI</w:t>
            </w:r>
          </w:p>
        </w:tc>
        <w:tc>
          <w:tcPr>
            <w:tcW w:type="dxa" w:w="4986"/>
          </w:tcPr>
          <w:p>
            <w:r>
              <w:rPr>
                <w:sz w:val="19"/>
              </w:rPr>
              <w:t>Selección automática busca Ib ≤ 0,80 × In; no se presenta como obligación IEC.</w:t>
            </w:r>
          </w:p>
        </w:tc>
      </w:tr>
      <w:tr>
        <w:tc>
          <w:tcPr>
            <w:tcW w:type="dxa" w:w="4986"/>
          </w:tcPr>
          <w:p>
            <w:r>
              <w:rPr>
                <w:sz w:val="19"/>
              </w:rPr>
              <w:t>Caída de tensión</w:t>
            </w:r>
          </w:p>
        </w:tc>
        <w:tc>
          <w:tcPr>
            <w:tcW w:type="dxa" w:w="4986"/>
          </w:tcPr>
          <w:p>
            <w:r>
              <w:rPr>
                <w:sz w:val="19"/>
              </w:rPr>
              <w:t>Se calcula por circuito y se acumula con la caída previa del alimentador cuando corresponde.</w:t>
            </w:r>
          </w:p>
        </w:tc>
      </w:tr>
      <w:tr>
        <w:tc>
          <w:tcPr>
            <w:tcW w:type="dxa" w:w="4986"/>
          </w:tcPr>
          <w:p>
            <w:r>
              <w:rPr>
                <w:sz w:val="19"/>
              </w:rPr>
              <w:t>Método enterrado</w:t>
            </w:r>
          </w:p>
        </w:tc>
        <w:tc>
          <w:tcPr>
            <w:tcW w:type="dxa" w:w="4986"/>
          </w:tcPr>
          <w:p>
            <w:r>
              <w:rPr>
                <w:sz w:val="19"/>
              </w:rPr>
              <w:t>Solicita resistividad térmica (K·m/W) y profundidad; aplica el factor de la Tabla B.52.16 dentro del alcance definido (hasta 0,8 m; 0,5 a 3,0 K·m/W).</w:t>
            </w:r>
          </w:p>
        </w:tc>
      </w:tr>
      <w:tr>
        <w:tc>
          <w:tcPr>
            <w:tcW w:type="dxa" w:w="4986"/>
          </w:tcPr>
          <w:p>
            <w:r>
              <w:rPr>
                <w:sz w:val="19"/>
              </w:rPr>
              <w:t>Tipo de protección</w:t>
            </w:r>
          </w:p>
        </w:tc>
        <w:tc>
          <w:tcPr>
            <w:tcW w:type="dxa" w:w="4986"/>
          </w:tcPr>
          <w:p>
            <w:r>
              <w:rPr>
                <w:sz w:val="19"/>
              </w:rPr>
              <w:t>Termomagnético IEC 60898-1 (I2 = 1,45·In) por defecto, o "caja moldeada, fusible u otro" con el I2 propio de fabricante para trifásico industrial (corregido 22/09/2026: UTE admite fusibles junto con interruptores automáticos, Comunicado 26002).</w:t>
            </w:r>
          </w:p>
        </w:tc>
      </w:tr>
      <w:tr>
        <w:tc>
          <w:tcPr>
            <w:tcW w:type="dxa" w:w="4986"/>
          </w:tcPr>
          <w:p>
            <w:r>
              <w:rPr>
                <w:sz w:val="19"/>
              </w:rPr>
              <w:t>Fases del circuito</w:t>
            </w:r>
          </w:p>
        </w:tc>
        <w:tc>
          <w:tcPr>
            <w:tcW w:type="dxa" w:w="4986"/>
          </w:tcPr>
          <w:p>
            <w:r>
              <w:rPr>
                <w:sz w:val="19"/>
              </w:rPr>
              <w:t>1φ o 3φ explícitas; en trifásico se requiere confirmación.</w:t>
            </w:r>
          </w:p>
        </w:tc>
      </w:tr>
      <w:tr>
        <w:tc>
          <w:tcPr>
            <w:tcW w:type="dxa" w:w="4986"/>
          </w:tcPr>
          <w:p>
            <w:r>
              <w:rPr>
                <w:sz w:val="19"/>
              </w:rPr>
              <w:t>Estado</w:t>
            </w:r>
          </w:p>
        </w:tc>
        <w:tc>
          <w:tcPr>
            <w:tcW w:type="dxa" w:w="4986"/>
          </w:tcPr>
          <w:p>
            <w:r>
              <w:rPr>
                <w:sz w:val="19"/>
              </w:rPr>
              <w:t>Verificado / Pendiente / No cumple con causas concretas.</w:t>
            </w:r>
          </w:p>
        </w:tc>
      </w:tr>
    </w:tbl>
    <w:p/>
    <w:p>
      <w:pPr>
        <w:pStyle w:val="Heading1"/>
      </w:pPr>
      <w:r>
        <w:t>7. Selección de térmicas y curvas B/C/D</w:t>
      </w:r>
    </w:p>
    <w:p>
      <w:pPr>
        <w:spacing w:after="160"/>
      </w:pPr>
      <w:r>
        <w:rPr>
          <w:b w:val="0"/>
          <w:sz w:val="21"/>
        </w:rPr>
        <w:t>La selección automática incorpora un margen de diseño interno del 20 %. Ejemplo: si Ib = 5,1 A, una térmica de 6 A quedaría al 85 % de su nominal; la app propone 10 A siempre que Iz del conductor lo permita. Una selección manual más ajustada puede seguir siendo normativamente válida si cumple Ib ≤ In ≤ Iz, pero se deja observación sobre el margen.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fill="E7E7E7"/>
          </w:tcPr>
          <w:p>
            <w:r>
              <w:rPr>
                <w:b/>
                <w:sz w:val="19"/>
              </w:rPr>
              <w:t>Curva</w:t>
            </w:r>
          </w:p>
        </w:tc>
        <w:tc>
          <w:tcPr>
            <w:tcW w:type="dxa" w:w="3324"/>
            <w:shd w:val="clear" w:fill="E7E7E7"/>
          </w:tcPr>
          <w:p>
            <w:r>
              <w:rPr>
                <w:b/>
                <w:sz w:val="19"/>
              </w:rPr>
              <w:t>Banda magnética IEC 60898-1 usada por la app</w:t>
            </w:r>
          </w:p>
        </w:tc>
        <w:tc>
          <w:tcPr>
            <w:tcW w:type="dxa" w:w="3324"/>
            <w:shd w:val="clear" w:fill="E7E7E7"/>
          </w:tcPr>
          <w:p>
            <w:r>
              <w:rPr>
                <w:b/>
                <w:sz w:val="19"/>
              </w:rPr>
              <w:t>Uso sugerido</w:t>
            </w:r>
          </w:p>
        </w:tc>
      </w:tr>
      <w:tr>
        <w:tc>
          <w:tcPr>
            <w:tcW w:type="dxa" w:w="3324"/>
          </w:tcPr>
          <w:p>
            <w:r>
              <w:rPr>
                <w:sz w:val="19"/>
              </w:rPr>
              <w:t>B</w:t>
            </w:r>
          </w:p>
        </w:tc>
        <w:tc>
          <w:tcPr>
            <w:tcW w:type="dxa" w:w="3324"/>
          </w:tcPr>
          <w:p>
            <w:r>
              <w:rPr>
                <w:sz w:val="19"/>
              </w:rPr>
              <w:t>3–10 × In</w:t>
            </w:r>
          </w:p>
        </w:tc>
        <w:tc>
          <w:tcPr>
            <w:tcW w:type="dxa" w:w="3324"/>
          </w:tcPr>
          <w:p>
            <w:r>
              <w:rPr>
                <w:sz w:val="19"/>
              </w:rPr>
              <w:t>Iluminación / cargas con bajo pico de arranque</w:t>
            </w:r>
          </w:p>
        </w:tc>
      </w:tr>
      <w:tr>
        <w:tc>
          <w:tcPr>
            <w:tcW w:type="dxa" w:w="3324"/>
          </w:tcPr>
          <w:p>
            <w:r>
              <w:rPr>
                <w:sz w:val="19"/>
              </w:rPr>
              <w:t>C</w:t>
            </w:r>
          </w:p>
        </w:tc>
        <w:tc>
          <w:tcPr>
            <w:tcW w:type="dxa" w:w="3324"/>
          </w:tcPr>
          <w:p>
            <w:r>
              <w:rPr>
                <w:sz w:val="19"/>
              </w:rPr>
              <w:t>5–10 × In</w:t>
            </w:r>
          </w:p>
        </w:tc>
        <w:tc>
          <w:tcPr>
            <w:tcW w:type="dxa" w:w="3324"/>
          </w:tcPr>
          <w:p>
            <w:r>
              <w:rPr>
                <w:sz w:val="19"/>
              </w:rPr>
              <w:t>Uso general, tomas y fuerza</w:t>
            </w:r>
          </w:p>
        </w:tc>
      </w:tr>
      <w:tr>
        <w:tc>
          <w:tcPr>
            <w:tcW w:type="dxa" w:w="3324"/>
          </w:tcPr>
          <w:p>
            <w:r>
              <w:rPr>
                <w:sz w:val="19"/>
              </w:rPr>
              <w:t>D</w:t>
            </w:r>
          </w:p>
        </w:tc>
        <w:tc>
          <w:tcPr>
            <w:tcW w:type="dxa" w:w="3324"/>
          </w:tcPr>
          <w:p>
            <w:r>
              <w:rPr>
                <w:sz w:val="19"/>
              </w:rPr>
              <w:t>10–20 × In</w:t>
            </w:r>
          </w:p>
        </w:tc>
        <w:tc>
          <w:tcPr>
            <w:tcW w:type="dxa" w:w="3324"/>
          </w:tcPr>
          <w:p>
            <w:r>
              <w:rPr>
                <w:sz w:val="19"/>
              </w:rPr>
              <w:t>Motores, bombas, transformadores o arranques elevados</w:t>
            </w:r>
          </w:p>
        </w:tc>
      </w:tr>
    </w:tbl>
    <w:p/>
    <w:p>
      <w:pPr>
        <w:spacing w:after="160"/>
      </w:pPr>
      <w:r>
        <w:rPr>
          <w:b w:val="0"/>
          <w:sz w:val="21"/>
        </w:rPr>
        <w:t>Para afirmar que la Icc mínima garantiza entrada en la zona magnética se usa conservadoramente el extremo superior: B = 5×In, C = 10×In y D = 20×In.</w:t>
      </w:r>
    </w:p>
    <w:p>
      <w:pPr>
        <w:pStyle w:val="Heading1"/>
      </w:pPr>
      <w:r>
        <w:t>8. Cortocircuito: Icc máxima, Icc mínima y tiempo térmico</w:t>
      </w:r>
    </w:p>
    <w:p>
      <w:pPr>
        <w:spacing w:after="160"/>
      </w:pPr>
      <w:r>
        <w:rPr>
          <w:b w:val="0"/>
          <w:sz w:val="21"/>
        </w:rPr>
        <w:t>La app separa dos problemas que no deben confundirse. La Icc máxima se usa para verificar el poder de corte del dispositivo. La Ik/Icc mínima al final de línea se usa para evaluar si la protección actuará suficientemente rápido en el punto más desfavorable.</w:t>
      </w:r>
    </w:p>
    <w:p>
      <w:pPr>
        <w:pStyle w:val="ListBullet"/>
      </w:pPr>
      <w:r>
        <w:rPr>
          <w:sz w:val="21"/>
        </w:rPr>
        <w:t>Poder de corte: se compara la Icc máxima prevista con el poder de corte de la protección (Icn IEC 60898-1 en termomagnéticos; Icu IEC 60947-2 en caja moldeada/fusible).</w:t>
      </w:r>
    </w:p>
    <w:p>
      <w:pPr>
        <w:pStyle w:val="ListBullet"/>
      </w:pPr>
      <w:r>
        <w:rPr>
          <w:sz w:val="21"/>
        </w:rPr>
        <w:t>Ik mínima: puede ingresarse directamente o derivarse de una impedancia de lazo documentada (Ik = U / Z).</w:t>
      </w:r>
    </w:p>
    <w:p>
      <w:pPr>
        <w:pStyle w:val="ListBullet"/>
      </w:pPr>
      <w:r>
        <w:rPr>
          <w:sz w:val="21"/>
        </w:rPr>
        <w:t>Si Ik mínima alcanza el umbral magnético garantizado, se reconoce la actuación rápida dentro del alcance del criterio utilizado.</w:t>
      </w:r>
    </w:p>
    <w:p>
      <w:pPr>
        <w:pStyle w:val="ListBullet"/>
      </w:pPr>
      <w:r>
        <w:rPr>
          <w:sz w:val="21"/>
        </w:rPr>
        <w:t>Si no alcanza el umbral magnético, el circuito queda Pendiente hasta aportar curva tiempo-corriente, ensayo o cálculo documentado; no se declara automáticamente No cumple.</w:t>
      </w:r>
    </w:p>
    <w:p>
      <w:pPr>
        <w:pStyle w:val="ListBullet"/>
      </w:pPr>
      <w:r>
        <w:rPr>
          <w:sz w:val="21"/>
        </w:rPr>
        <w:t>El tiempo de actuación documentado se compara contra el tiempo térmicamente admisible del conductor mediante el criterio I²t / relación adiabática aplicable (Anexo §7 del RBT-UTE).</w:t>
      </w:r>
    </w:p>
    <w:p>
      <w:pPr>
        <w:pStyle w:val="ListBullet"/>
      </w:pPr>
      <w:r>
        <w:rPr>
          <w:sz w:val="21"/>
        </w:rPr>
        <w:t>Las irregularidades no monótonas detectadas en las Tablas B/C de cortocircuito publicadas por UTE no se "corrigen" por inferencia; el valor queda Pendiente.</w:t>
      </w:r>
    </w:p>
    <w:p>
      <w:pPr>
        <w:pStyle w:val="Heading1"/>
      </w:pPr>
      <w:r>
        <w:t>9. Selectividad y coordinación de protecciones</w:t>
      </w:r>
    </w:p>
    <w:p>
      <w:pPr>
        <w:spacing w:after="160"/>
      </w:pPr>
      <w:r>
        <w:rPr>
          <w:b w:val="0"/>
          <w:sz w:val="21"/>
        </w:rPr>
        <w:t>La app no presume selectividad porque la protección general sea simplemente mayor que la del circuito. La selectividad entre interruptores se trata como total, parcial, no selectiva o pendiente según datos de fabricante e Icc del punto.</w:t>
      </w:r>
    </w:p>
    <w:p>
      <w:pPr>
        <w:pStyle w:val="ListBullet"/>
      </w:pPr>
      <w:r>
        <w:rPr>
          <w:sz w:val="21"/>
        </w:rPr>
        <w:t>Selectividad total: requiere respaldo por tabla/curva del fabricante.</w:t>
      </w:r>
    </w:p>
    <w:p>
      <w:pPr>
        <w:pStyle w:val="ListBullet"/>
      </w:pPr>
      <w:r>
        <w:rPr>
          <w:sz w:val="21"/>
        </w:rPr>
        <w:t>Selectividad parcial: permite registrar límite Is en kA y compararlo con la Icc del circuito.</w:t>
      </w:r>
    </w:p>
    <w:p>
      <w:pPr>
        <w:pStyle w:val="ListBullet"/>
      </w:pPr>
      <w:r>
        <w:rPr>
          <w:sz w:val="21"/>
        </w:rPr>
        <w:t>Sin información suficiente del fabricante, el estado es Pendiente.</w:t>
      </w:r>
    </w:p>
    <w:p>
      <w:pPr>
        <w:pStyle w:val="ListBullet"/>
      </w:pPr>
      <w:r>
        <w:rPr>
          <w:sz w:val="21"/>
        </w:rPr>
        <w:t>La falta de selectividad se informa separadamente del cumplimiento básico de protección; afecta continuidad de servicio, no equivale por sí sola a "instalación insegura".</w:t>
      </w:r>
    </w:p>
    <w:p>
      <w:pPr>
        <w:pStyle w:val="Heading1"/>
      </w:pPr>
      <w:r>
        <w:t>10. Diferenciales (RCD) y corrientes de fuga</w:t>
      </w:r>
    </w:p>
    <w:p>
      <w:pPr>
        <w:spacing w:after="160"/>
      </w:pPr>
      <w:r>
        <w:rPr>
          <w:b w:val="0"/>
          <w:sz w:val="21"/>
        </w:rPr>
        <w:t>La aplicación verifica el diferencial general y, cuando corresponde, diferenciales dedicados. No se implementó una falsa regla universal de "máximo 3 circuitos por diferencial": se verificó IEC 60364-5-53 §531.3.2 y esa norma no la fija. Como referencia, la app documenta el criterio de limitar la suma de corrientes de fuga aguas abajo aproximadamente al 30 % de IΔn cuando esos datos se conocen, para reducir disparos intempestivos.</w:t>
      </w:r>
    </w:p>
    <w:p>
      <w:pPr>
        <w:pStyle w:val="ListBullet"/>
      </w:pPr>
      <w:r>
        <w:rPr>
          <w:sz w:val="21"/>
        </w:rPr>
        <w:t>Sensibilidad y tipo de diferencial general.</w:t>
      </w:r>
    </w:p>
    <w:p>
      <w:pPr>
        <w:pStyle w:val="ListBullet"/>
      </w:pPr>
      <w:r>
        <w:rPr>
          <w:sz w:val="21"/>
        </w:rPr>
        <w:t>Selectividad RCD en cascada: sensibilidad aguas arriba ≥ 3 veces la de aguas abajo y dispositivo superior selectivo tipo S/temporizado para declarar compatibilidad con selectividad total.</w:t>
      </w:r>
    </w:p>
    <w:p>
      <w:pPr>
        <w:pStyle w:val="ListBullet"/>
      </w:pPr>
      <w:r>
        <w:rPr>
          <w:sz w:val="21"/>
        </w:rPr>
        <w:t>Ejemplo compatible: 300 mA tipo S aguas arriba sobre 30 mA instantáneo aguas abajo.</w:t>
      </w:r>
    </w:p>
    <w:p>
      <w:pPr>
        <w:pStyle w:val="ListBullet"/>
      </w:pPr>
      <w:r>
        <w:rPr>
          <w:sz w:val="21"/>
        </w:rPr>
        <w:t>30 mA sobre 30 mA no se declara selectivo, aunque pueda seguir existiendo protección diferencial.</w:t>
      </w:r>
    </w:p>
    <w:p>
      <w:pPr>
        <w:pStyle w:val="Heading1"/>
      </w:pPr>
      <w:r>
        <w:t>11. Vehículos eléctricos</w:t>
      </w:r>
    </w:p>
    <w:p>
      <w:pPr>
        <w:spacing w:after="160"/>
      </w:pPr>
      <w:r>
        <w:rPr>
          <w:b w:val="0"/>
          <w:sz w:val="21"/>
        </w:rPr>
        <w:t>Los circuitos de carga de vehículos eléctricos tienen auditoría específica, según UTE RBT Cap. XXX §9.4.2: cada Punto de Conexión debe protegerse individualmente con un diferencial ≤ 30 mA y corte de todos los conductores activos incluido el neutro. Un circuito VE no puede quedar técnicamente cerrado sólo por sección y térmica: debe indicarse el modo de carga IEC 61851 y la solución diferencial individual.</w:t>
      </w:r>
    </w:p>
    <w:tbl>
      <w:tblPr>
        <w:tblStyle w:val="TableGrid"/>
        <w:tblW w:type="auto" w:w="0"/>
        <w:jc w:val="center"/>
        <w:tblLook w:firstColumn="1" w:firstRow="1" w:lastColumn="0" w:lastRow="0" w:noHBand="0" w:noVBand="1" w:val="04A0"/>
      </w:tblPr>
      <w:tblGrid>
        <w:gridCol w:w="4986"/>
        <w:gridCol w:w="4986"/>
      </w:tblGrid>
      <w:tr>
        <w:tc>
          <w:tcPr>
            <w:tcW w:type="dxa" w:w="4986"/>
            <w:shd w:val="clear" w:fill="E7E7E7"/>
          </w:tcPr>
          <w:p>
            <w:r>
              <w:rPr>
                <w:b/>
                <w:sz w:val="19"/>
              </w:rPr>
              <w:t>Modo de carga</w:t>
            </w:r>
          </w:p>
        </w:tc>
        <w:tc>
          <w:tcPr>
            <w:tcW w:type="dxa" w:w="4986"/>
            <w:shd w:val="clear" w:fill="E7E7E7"/>
          </w:tcPr>
          <w:p>
            <w:r>
              <w:rPr>
                <w:b/>
                <w:sz w:val="19"/>
              </w:rPr>
              <w:t>Tipo de diferencial exigido</w:t>
            </w:r>
          </w:p>
        </w:tc>
      </w:tr>
      <w:tr>
        <w:tc>
          <w:tcPr>
            <w:tcW w:type="dxa" w:w="4986"/>
          </w:tcPr>
          <w:p>
            <w:r>
              <w:rPr>
                <w:sz w:val="19"/>
              </w:rPr>
              <w:t>1, 2 y 4</w:t>
            </w:r>
          </w:p>
        </w:tc>
        <w:tc>
          <w:tcPr>
            <w:tcW w:type="dxa" w:w="4986"/>
          </w:tcPr>
          <w:p>
            <w:r>
              <w:rPr>
                <w:sz w:val="19"/>
              </w:rPr>
              <w:t>Al menos tipo A</w:t>
            </w:r>
          </w:p>
        </w:tc>
      </w:tr>
      <w:tr>
        <w:tc>
          <w:tcPr>
            <w:tcW w:type="dxa" w:w="4986"/>
          </w:tcPr>
          <w:p>
            <w:r>
              <w:rPr>
                <w:sz w:val="19"/>
              </w:rPr>
              <w:t>3, sin RDC-DD de 6 mA confirmado</w:t>
            </w:r>
          </w:p>
        </w:tc>
        <w:tc>
          <w:tcPr>
            <w:tcW w:type="dxa" w:w="4986"/>
          </w:tcPr>
          <w:p>
            <w:r>
              <w:rPr>
                <w:sz w:val="19"/>
              </w:rPr>
              <w:t>Tipo B</w:t>
            </w:r>
          </w:p>
        </w:tc>
      </w:tr>
      <w:tr>
        <w:tc>
          <w:tcPr>
            <w:tcW w:type="dxa" w:w="4986"/>
          </w:tcPr>
          <w:p>
            <w:r>
              <w:rPr>
                <w:sz w:val="19"/>
              </w:rPr>
              <w:t>3, con RDC-DD de 6 mA (IEC 62955) confirmado</w:t>
            </w:r>
          </w:p>
        </w:tc>
        <w:tc>
          <w:tcPr>
            <w:tcW w:type="dxa" w:w="4986"/>
          </w:tcPr>
          <w:p>
            <w:r>
              <w:rPr>
                <w:sz w:val="19"/>
              </w:rPr>
              <w:t>Tipo A o F</w:t>
            </w:r>
          </w:p>
        </w:tc>
      </w:tr>
    </w:tbl>
    <w:p/>
    <w:p>
      <w:pPr>
        <w:spacing w:after="160"/>
      </w:pPr>
      <w:r>
        <w:rPr>
          <w:b w:val="0"/>
          <w:sz w:val="21"/>
        </w:rPr>
        <w:t>Mientras no se confirme el modo de carga, el punto de conexión queda Pendiente: la app no asume un modo por defecto.</w:t>
      </w:r>
    </w:p>
    <w:p>
      <w:pPr>
        <w:pStyle w:val="Heading1"/>
      </w:pPr>
      <w:r>
        <w:t>12. Puesta a tierra, contactos indirectos y sobretensiones</w:t>
      </w:r>
    </w:p>
    <w:p>
      <w:pPr>
        <w:spacing w:after="160"/>
      </w:pPr>
      <w:r>
        <w:rPr>
          <w:b w:val="0"/>
          <w:sz w:val="21"/>
        </w:rPr>
        <w:t>La protección contra contactos indirectos forma parte del estado técnico global. En TT se combina la resistencia de tierra, la sensibilidad del diferencial y el tiempo de desconexión documentado. En IT se evalúan primer defecto, vigilancia de aislamiento y condición de segundo defecto.</w:t>
      </w:r>
    </w:p>
    <w:tbl>
      <w:tblPr>
        <w:tblStyle w:val="TableGrid"/>
        <w:tblW w:type="auto" w:w="0"/>
        <w:jc w:val="center"/>
        <w:tblLook w:firstColumn="1" w:firstRow="1" w:lastColumn="0" w:lastRow="0" w:noHBand="0" w:noVBand="1" w:val="04A0"/>
      </w:tblPr>
      <w:tblGrid>
        <w:gridCol w:w="4986"/>
        <w:gridCol w:w="4986"/>
      </w:tblGrid>
      <w:tr>
        <w:tc>
          <w:tcPr>
            <w:tcW w:type="dxa" w:w="4986"/>
            <w:shd w:val="clear" w:fill="E7E7E7"/>
          </w:tcPr>
          <w:p>
            <w:r>
              <w:rPr>
                <w:b/>
                <w:sz w:val="19"/>
              </w:rPr>
              <w:t>Tema</w:t>
            </w:r>
          </w:p>
        </w:tc>
        <w:tc>
          <w:tcPr>
            <w:tcW w:type="dxa" w:w="4986"/>
            <w:shd w:val="clear" w:fill="E7E7E7"/>
          </w:tcPr>
          <w:p>
            <w:r>
              <w:rPr>
                <w:b/>
                <w:sz w:val="19"/>
              </w:rPr>
              <w:t>Criterio presentado por la app</w:t>
            </w:r>
          </w:p>
        </w:tc>
      </w:tr>
      <w:tr>
        <w:tc>
          <w:tcPr>
            <w:tcW w:type="dxa" w:w="4986"/>
          </w:tcPr>
          <w:p>
            <w:r>
              <w:rPr>
                <w:sz w:val="19"/>
              </w:rPr>
              <w:t>Tensión de contacto</w:t>
            </w:r>
          </w:p>
        </w:tc>
        <w:tc>
          <w:tcPr>
            <w:tcW w:type="dxa" w:w="4986"/>
          </w:tcPr>
          <w:p>
            <w:r>
              <w:rPr>
                <w:sz w:val="19"/>
              </w:rPr>
              <w:t>Verificación mediante Rₐ × IΔn ≤ Uₗ en TT y condición equivalente aplicable.</w:t>
            </w:r>
          </w:p>
        </w:tc>
      </w:tr>
      <w:tr>
        <w:tc>
          <w:tcPr>
            <w:tcW w:type="dxa" w:w="4986"/>
          </w:tcPr>
          <w:p>
            <w:r>
              <w:rPr>
                <w:sz w:val="19"/>
              </w:rPr>
              <w:t>TT</w:t>
            </w:r>
          </w:p>
        </w:tc>
        <w:tc>
          <w:tcPr>
            <w:tcW w:type="dxa" w:w="4986"/>
          </w:tcPr>
          <w:p>
            <w:r>
              <w:rPr>
                <w:sz w:val="19"/>
              </w:rPr>
              <w:t>Solicita resistencia de tierra y tiempo de desconexión; para 230 V usa 0,2 s en circuitos finales dentro del alcance y 1 s para distribución/otros.</w:t>
            </w:r>
          </w:p>
        </w:tc>
      </w:tr>
      <w:tr>
        <w:tc>
          <w:tcPr>
            <w:tcW w:type="dxa" w:w="4986"/>
          </w:tcPr>
          <w:p>
            <w:r>
              <w:rPr>
                <w:sz w:val="19"/>
              </w:rPr>
              <w:t>IT - primer defecto</w:t>
            </w:r>
          </w:p>
        </w:tc>
        <w:tc>
          <w:tcPr>
            <w:tcW w:type="dxa" w:w="4986"/>
          </w:tcPr>
          <w:p>
            <w:r>
              <w:rPr>
                <w:sz w:val="19"/>
              </w:rPr>
              <w:t>Solicita corriente Id y comprueba Rₐ × Id ≤ Uₗ; exige vigilancia/monitorización de aislamiento.</w:t>
            </w:r>
          </w:p>
        </w:tc>
      </w:tr>
      <w:tr>
        <w:tc>
          <w:tcPr>
            <w:tcW w:type="dxa" w:w="4986"/>
          </w:tcPr>
          <w:p>
            <w:r>
              <w:rPr>
                <w:sz w:val="19"/>
              </w:rPr>
              <w:t>IT - segundo defecto</w:t>
            </w:r>
          </w:p>
        </w:tc>
        <w:tc>
          <w:tcPr>
            <w:tcW w:type="dxa" w:w="4986"/>
          </w:tcPr>
          <w:p>
            <w:r>
              <w:rPr>
                <w:sz w:val="19"/>
              </w:rPr>
              <w:t>Distingue masas interconectadas por PE o puestas a tierra por grupos/individualmente y aplica el esquema de tiempos correspondiente.</w:t>
            </w:r>
          </w:p>
        </w:tc>
      </w:tr>
      <w:tr>
        <w:tc>
          <w:tcPr>
            <w:tcW w:type="dxa" w:w="4986"/>
          </w:tcPr>
          <w:p>
            <w:r>
              <w:rPr>
                <w:sz w:val="19"/>
              </w:rPr>
              <w:t>Sobretensiones</w:t>
            </w:r>
          </w:p>
        </w:tc>
        <w:tc>
          <w:tcPr>
            <w:tcW w:type="dxa" w:w="4986"/>
          </w:tcPr>
          <w:p>
            <w:r>
              <w:rPr>
                <w:sz w:val="19"/>
              </w:rPr>
              <w:t>Registra si son de temer sobretensiones atmosféricas; si corresponde SPD, verifica su existencia y la condición de tierra asociada (&lt; 10 Ω).</w:t>
            </w:r>
          </w:p>
        </w:tc>
      </w:tr>
      <w:tr>
        <w:tc>
          <w:tcPr>
            <w:tcW w:type="dxa" w:w="4986"/>
          </w:tcPr>
          <w:p>
            <w:r>
              <w:rPr>
                <w:sz w:val="19"/>
              </w:rPr>
              <w:t>SPD</w:t>
            </w:r>
          </w:p>
        </w:tc>
        <w:tc>
          <w:tcPr>
            <w:tcW w:type="dxa" w:w="4986"/>
          </w:tcPr>
          <w:p>
            <w:r>
              <w:rPr>
                <w:sz w:val="19"/>
              </w:rPr>
              <w:t>Propone Tipo 1+2 cuando existe LPS y Tipo 2 en otros casos como referencia complementaria, sujeto al proyecto real.</w:t>
            </w:r>
          </w:p>
        </w:tc>
      </w:tr>
    </w:tbl>
    <w:p/>
    <w:p>
      <w:pPr>
        <w:pStyle w:val="Heading1"/>
      </w:pPr>
      <w:r>
        <w:t>13. Balance real de fases</w:t>
      </w:r>
    </w:p>
    <w:p>
      <w:pPr>
        <w:spacing w:after="160"/>
      </w:pPr>
      <w:r>
        <w:rPr>
          <w:b w:val="0"/>
          <w:sz w:val="21"/>
        </w:rPr>
        <w:t>En sistemas trifásicos, cada circuito monofásico se asigna a L1, L2 o L3; para el modelo IT 230 V se trabaja con pares de conductores activos. La app suma las corrientes por fase, identifica la fase más cargada y calcula el desequilibrio.</w:t>
      </w:r>
    </w:p>
    <w:p>
      <w:pPr>
        <w:spacing w:after="160"/>
      </w:pPr>
      <w:r>
        <w:rPr>
          <w:b w:val="0"/>
          <w:sz w:val="21"/>
        </w:rPr>
        <w:t>El criterio implementado contrasta el desequilibrio con los límites de UTE utilizados por la app: 20 % hasta 50 kW y 15 % por encima de 50 kW. La fórmula porcentual queda documentada como criterio técnico de la app: máxima desviación respecto de la corriente media / corriente media × 100.</w:t>
      </w:r>
    </w:p>
    <w:p>
      <w:pPr>
        <w:pStyle w:val="ListBullet"/>
      </w:pPr>
      <w:r>
        <w:rPr>
          <w:sz w:val="21"/>
        </w:rPr>
        <w:t>Asignación manual por fase/conductor.</w:t>
      </w:r>
    </w:p>
    <w:p>
      <w:pPr>
        <w:pStyle w:val="ListBullet"/>
      </w:pPr>
      <w:r>
        <w:rPr>
          <w:sz w:val="21"/>
        </w:rPr>
        <w:t>Distribución automática orientada a reducir desequilibrio.</w:t>
      </w:r>
    </w:p>
    <w:p>
      <w:pPr>
        <w:pStyle w:val="ListBullet"/>
      </w:pPr>
      <w:r>
        <w:rPr>
          <w:sz w:val="21"/>
        </w:rPr>
        <w:t>La fase más cargada interviene en el alimentador y protección general.</w:t>
      </w:r>
    </w:p>
    <w:p>
      <w:pPr>
        <w:pStyle w:val="Heading1"/>
      </w:pPr>
      <w:r>
        <w:t>14. Alimentador general, neutro y PE</w:t>
      </w:r>
    </w:p>
    <w:p>
      <w:pPr>
        <w:spacing w:after="160"/>
      </w:pPr>
      <w:r>
        <w:rPr>
          <w:b w:val="0"/>
          <w:sz w:val="21"/>
        </w:rPr>
        <w:t>El alimentador se descompone en conductor(es) de fase, neutro cuando existe y conductor de protección. La app evita tratar una sola "sección" como si describiera automáticamente todos los conductores.</w:t>
      </w:r>
    </w:p>
    <w:tbl>
      <w:tblPr>
        <w:tblStyle w:val="TableGrid"/>
        <w:tblW w:type="auto" w:w="0"/>
        <w:jc w:val="center"/>
        <w:tblLook w:firstColumn="1" w:firstRow="1" w:lastColumn="0" w:lastRow="0" w:noHBand="0" w:noVBand="1" w:val="04A0"/>
      </w:tblPr>
      <w:tblGrid>
        <w:gridCol w:w="4986"/>
        <w:gridCol w:w="4986"/>
      </w:tblGrid>
      <w:tr>
        <w:tc>
          <w:tcPr>
            <w:tcW w:type="dxa" w:w="4986"/>
            <w:shd w:val="clear" w:fill="E7E7E7"/>
          </w:tcPr>
          <w:p>
            <w:r>
              <w:rPr>
                <w:b/>
                <w:sz w:val="19"/>
              </w:rPr>
              <w:t>Elemento</w:t>
            </w:r>
          </w:p>
        </w:tc>
        <w:tc>
          <w:tcPr>
            <w:tcW w:type="dxa" w:w="4986"/>
            <w:shd w:val="clear" w:fill="E7E7E7"/>
          </w:tcPr>
          <w:p>
            <w:r>
              <w:rPr>
                <w:b/>
                <w:sz w:val="19"/>
              </w:rPr>
              <w:t>Tratamiento actual</w:t>
            </w:r>
          </w:p>
        </w:tc>
      </w:tr>
      <w:tr>
        <w:tc>
          <w:tcPr>
            <w:tcW w:type="dxa" w:w="4986"/>
          </w:tcPr>
          <w:p>
            <w:r>
              <w:rPr>
                <w:sz w:val="19"/>
              </w:rPr>
              <w:t>Fases</w:t>
            </w:r>
          </w:p>
        </w:tc>
        <w:tc>
          <w:tcPr>
            <w:tcW w:type="dxa" w:w="4986"/>
          </w:tcPr>
          <w:p>
            <w:r>
              <w:rPr>
                <w:sz w:val="19"/>
              </w:rPr>
              <w:t>Sección y capacidad de conducción coordinadas con la corriente de diseño real, incluyendo la fase más cargada.</w:t>
            </w:r>
          </w:p>
        </w:tc>
      </w:tr>
      <w:tr>
        <w:tc>
          <w:tcPr>
            <w:tcW w:type="dxa" w:w="4986"/>
          </w:tcPr>
          <w:p>
            <w:r>
              <w:rPr>
                <w:sz w:val="19"/>
              </w:rPr>
              <w:t>Neutro</w:t>
            </w:r>
          </w:p>
        </w:tc>
        <w:tc>
          <w:tcPr>
            <w:tcW w:type="dxa" w:w="4986"/>
          </w:tcPr>
          <w:p>
            <w:r>
              <w:rPr>
                <w:sz w:val="19"/>
              </w:rPr>
              <w:t>Por defecto adopta la misma sección que fase. Si se reduce manualmente, la memoria exige justificación específica; la estimación fundamental (suma vectorial de L1/L2/L3) no cubre por sí sola armónicos triples.</w:t>
            </w:r>
          </w:p>
        </w:tc>
      </w:tr>
      <w:tr>
        <w:tc>
          <w:tcPr>
            <w:tcW w:type="dxa" w:w="4986"/>
          </w:tcPr>
          <w:p>
            <w:r>
              <w:rPr>
                <w:sz w:val="19"/>
              </w:rPr>
              <w:t>PE del alimentador</w:t>
            </w:r>
          </w:p>
        </w:tc>
        <w:tc>
          <w:tcPr>
            <w:tcW w:type="dxa" w:w="4986"/>
          </w:tcPr>
          <w:p>
            <w:r>
              <w:rPr>
                <w:sz w:val="19"/>
              </w:rPr>
              <w:t>Se aplica el criterio de UTE Cap. XXIII §4/§10 en suministros pequeños/medianos; fuera de ese alcance se adopta conservadoramente S_PE = S_fase y se deja Pendiente la comprobación térmica específica.</w:t>
            </w:r>
          </w:p>
        </w:tc>
      </w:tr>
      <w:tr>
        <w:tc>
          <w:tcPr>
            <w:tcW w:type="dxa" w:w="4986"/>
          </w:tcPr>
          <w:p>
            <w:r>
              <w:rPr>
                <w:sz w:val="19"/>
              </w:rPr>
              <w:t>Caída de tensión</w:t>
            </w:r>
          </w:p>
        </w:tc>
        <w:tc>
          <w:tcPr>
            <w:tcW w:type="dxa" w:w="4986"/>
          </w:tcPr>
          <w:p>
            <w:r>
              <w:rPr>
                <w:sz w:val="19"/>
              </w:rPr>
              <w:t>Se calcula y se integra con la caída de los circuitos.</w:t>
            </w:r>
          </w:p>
        </w:tc>
      </w:tr>
      <w:tr>
        <w:tc>
          <w:tcPr>
            <w:tcW w:type="dxa" w:w="4986"/>
          </w:tcPr>
          <w:p>
            <w:r>
              <w:rPr>
                <w:sz w:val="19"/>
              </w:rPr>
              <w:t>Protección general</w:t>
            </w:r>
          </w:p>
        </w:tc>
        <w:tc>
          <w:tcPr>
            <w:tcW w:type="dxa" w:w="4986"/>
          </w:tcPr>
          <w:p>
            <w:r>
              <w:rPr>
                <w:sz w:val="19"/>
              </w:rPr>
              <w:t>Coordina Ib, In e Iz y hereda pendientes/incumplimientos del alimentador.</w:t>
            </w:r>
          </w:p>
        </w:tc>
      </w:tr>
      <w:tr>
        <w:tc>
          <w:tcPr>
            <w:tcW w:type="dxa" w:w="4986"/>
          </w:tcPr>
          <w:p>
            <w:r>
              <w:rPr>
                <w:sz w:val="19"/>
              </w:rPr>
              <w:t>Sistema IT 230 V</w:t>
            </w:r>
          </w:p>
        </w:tc>
        <w:tc>
          <w:tcPr>
            <w:tcW w:type="dxa" w:w="4986"/>
          </w:tcPr>
          <w:p>
            <w:r>
              <w:rPr>
                <w:sz w:val="19"/>
              </w:rPr>
              <w:t>No presupone neutro ni protección general de 4 polos; utiliza los tres conductores activos.</w:t>
            </w:r>
          </w:p>
        </w:tc>
      </w:tr>
    </w:tbl>
    <w:p/>
    <w:p>
      <w:pPr>
        <w:pStyle w:val="Heading1"/>
      </w:pPr>
      <w:r>
        <w:t>15. PE de circuitos y equipotencialidad</w:t>
      </w:r>
    </w:p>
    <w:p>
      <w:pPr>
        <w:spacing w:after="160"/>
      </w:pPr>
      <w:r>
        <w:rPr>
          <w:b w:val="0"/>
          <w:sz w:val="21"/>
        </w:rPr>
        <w:t>Cada circuito dispone de sección de PE y ensayo de continuidad. La app usa IEC 60364-5-54 como referencia complementaria para el método simplificado de dimensionado.</w:t>
      </w:r>
    </w:p>
    <w:tbl>
      <w:tblPr>
        <w:tblStyle w:val="TableGrid"/>
        <w:tblW w:type="auto" w:w="0"/>
        <w:jc w:val="center"/>
        <w:tblLook w:firstColumn="1" w:firstRow="1" w:lastColumn="0" w:lastRow="0" w:noHBand="0" w:noVBand="1" w:val="04A0"/>
      </w:tblPr>
      <w:tblGrid>
        <w:gridCol w:w="4986"/>
        <w:gridCol w:w="4986"/>
      </w:tblGrid>
      <w:tr>
        <w:tc>
          <w:tcPr>
            <w:tcW w:type="dxa" w:w="4986"/>
            <w:shd w:val="clear" w:fill="E7E7E7"/>
          </w:tcPr>
          <w:p>
            <w:r>
              <w:rPr>
                <w:b/>
                <w:sz w:val="19"/>
              </w:rPr>
              <w:t>Sección de fase</w:t>
            </w:r>
          </w:p>
        </w:tc>
        <w:tc>
          <w:tcPr>
            <w:tcW w:type="dxa" w:w="4986"/>
            <w:shd w:val="clear" w:fill="E7E7E7"/>
          </w:tcPr>
          <w:p>
            <w:r>
              <w:rPr>
                <w:b/>
                <w:sz w:val="19"/>
              </w:rPr>
              <w:t>PE simplificado utilizado</w:t>
            </w:r>
          </w:p>
        </w:tc>
      </w:tr>
      <w:tr>
        <w:tc>
          <w:tcPr>
            <w:tcW w:type="dxa" w:w="4986"/>
          </w:tcPr>
          <w:p>
            <w:r>
              <w:rPr>
                <w:sz w:val="19"/>
              </w:rPr>
              <w:t>S fase ≤ 16 mm²</w:t>
            </w:r>
          </w:p>
        </w:tc>
        <w:tc>
          <w:tcPr>
            <w:tcW w:type="dxa" w:w="4986"/>
          </w:tcPr>
          <w:p>
            <w:r>
              <w:rPr>
                <w:sz w:val="19"/>
              </w:rPr>
              <w:t>S PE = S fase</w:t>
            </w:r>
          </w:p>
        </w:tc>
      </w:tr>
      <w:tr>
        <w:tc>
          <w:tcPr>
            <w:tcW w:type="dxa" w:w="4986"/>
          </w:tcPr>
          <w:p>
            <w:r>
              <w:rPr>
                <w:sz w:val="19"/>
              </w:rPr>
              <w:t>16 &lt; S fase ≤ 35 mm²</w:t>
            </w:r>
          </w:p>
        </w:tc>
        <w:tc>
          <w:tcPr>
            <w:tcW w:type="dxa" w:w="4986"/>
          </w:tcPr>
          <w:p>
            <w:r>
              <w:rPr>
                <w:sz w:val="19"/>
              </w:rPr>
              <w:t>S PE = 16 mm²</w:t>
            </w:r>
          </w:p>
        </w:tc>
      </w:tr>
      <w:tr>
        <w:tc>
          <w:tcPr>
            <w:tcW w:type="dxa" w:w="4986"/>
          </w:tcPr>
          <w:p>
            <w:r>
              <w:rPr>
                <w:sz w:val="19"/>
              </w:rPr>
              <w:t>S fase &gt; 35 mm²</w:t>
            </w:r>
          </w:p>
        </w:tc>
        <w:tc>
          <w:tcPr>
            <w:tcW w:type="dxa" w:w="4986"/>
          </w:tcPr>
          <w:p>
            <w:r>
              <w:rPr>
                <w:sz w:val="19"/>
              </w:rPr>
              <w:t>S PE ≈ S fase / 2</w:t>
            </w:r>
          </w:p>
        </w:tc>
      </w:tr>
    </w:tbl>
    <w:p/>
    <w:p>
      <w:pPr>
        <w:pStyle w:val="ListBullet"/>
      </w:pPr>
      <w:r>
        <w:rPr>
          <w:sz w:val="21"/>
        </w:rPr>
        <w:t>PE separado: mínimos mecánicos adicionales de 2,5 mm² Cu con protección mecánica o 4 mm² Cu sin ella (16 mm² si es aluminio).</w:t>
      </w:r>
    </w:p>
    <w:p>
      <w:pPr>
        <w:pStyle w:val="ListBullet"/>
      </w:pPr>
      <w:r>
        <w:rPr>
          <w:sz w:val="21"/>
        </w:rPr>
        <w:t>Continuidad PE por circuito: Pendiente / Verificado / No continuo; resistencia medida opcional para trazabilidad.</w:t>
      </w:r>
    </w:p>
    <w:p>
      <w:pPr>
        <w:pStyle w:val="ListBullet"/>
      </w:pPr>
      <w:r>
        <w:rPr>
          <w:sz w:val="21"/>
        </w:rPr>
        <w:t>No se impone un valor universal de ohmios para continuidad; se conserva el valor medido y el resultado del ensayo.</w:t>
      </w:r>
    </w:p>
    <w:p>
      <w:pPr>
        <w:pStyle w:val="ListBullet"/>
      </w:pPr>
      <w:r>
        <w:rPr>
          <w:sz w:val="21"/>
        </w:rPr>
        <w:t>Equipotencialidad principal: aplicabilidad, sección y continuidad; referencia de al menos 1/2 del mayor PE, mínimo 6 mm² Cu y sin necesidad de superar 25 mm² Cu.</w:t>
      </w:r>
    </w:p>
    <w:p>
      <w:pPr>
        <w:pStyle w:val="ListBullet"/>
      </w:pPr>
      <w:r>
        <w:rPr>
          <w:sz w:val="21"/>
        </w:rPr>
        <w:t>Equipotencialidad suplementaria: evaluación separada cuando aplica.</w:t>
      </w:r>
    </w:p>
    <w:p>
      <w:pPr>
        <w:pStyle w:val="Heading1"/>
      </w:pPr>
      <w:r>
        <w:t>16. Protocolo de puesta en servicio</w:t>
      </w:r>
    </w:p>
    <w:p>
      <w:pPr>
        <w:spacing w:after="160"/>
      </w:pPr>
      <w:r>
        <w:rPr>
          <w:b w:val="0"/>
          <w:sz w:val="21"/>
        </w:rPr>
        <w:t>El Paso 14 convirtió el cierre de la memoria en un protocolo de ensayos (IEC 60364-6, referencia complementaria). La app reutiliza las mediciones ya cargadas para tierra y continuidad, y agrega ensayos que antes no formaban parte del flujo final.</w:t>
      </w:r>
    </w:p>
    <w:tbl>
      <w:tblPr>
        <w:tblStyle w:val="TableGrid"/>
        <w:tblW w:type="auto" w:w="0"/>
        <w:jc w:val="center"/>
        <w:tblLook w:firstColumn="1" w:firstRow="1" w:lastColumn="0" w:lastRow="0" w:noHBand="0" w:noVBand="1" w:val="04A0"/>
      </w:tblPr>
      <w:tblGrid>
        <w:gridCol w:w="4986"/>
        <w:gridCol w:w="4986"/>
      </w:tblGrid>
      <w:tr>
        <w:tc>
          <w:tcPr>
            <w:tcW w:type="dxa" w:w="4986"/>
            <w:shd w:val="clear" w:fill="E7E7E7"/>
          </w:tcPr>
          <w:p>
            <w:r>
              <w:rPr>
                <w:b/>
                <w:sz w:val="19"/>
              </w:rPr>
              <w:t>Ensayo / dato</w:t>
            </w:r>
          </w:p>
        </w:tc>
        <w:tc>
          <w:tcPr>
            <w:tcW w:type="dxa" w:w="4986"/>
            <w:shd w:val="clear" w:fill="E7E7E7"/>
          </w:tcPr>
          <w:p>
            <w:r>
              <w:rPr>
                <w:b/>
                <w:sz w:val="19"/>
              </w:rPr>
              <w:t>Qué registra / verifica</w:t>
            </w:r>
          </w:p>
        </w:tc>
      </w:tr>
      <w:tr>
        <w:tc>
          <w:tcPr>
            <w:tcW w:type="dxa" w:w="4986"/>
          </w:tcPr>
          <w:p>
            <w:r>
              <w:rPr>
                <w:sz w:val="19"/>
              </w:rPr>
              <w:t>Aislamiento</w:t>
            </w:r>
          </w:p>
        </w:tc>
        <w:tc>
          <w:tcPr>
            <w:tcW w:type="dxa" w:w="4986"/>
          </w:tcPr>
          <w:p>
            <w:r>
              <w:rPr>
                <w:sz w:val="19"/>
              </w:rPr>
              <w:t>Tensión de ensayo y MΩ por circuito. Hasta 500 V: 500 Vcc y mínimo 1 MΩ. Permite 250 Vcc manteniendo 1 MΩ cuando no sea practicable desconectar SPD/electrónica sensible.</w:t>
            </w:r>
          </w:p>
        </w:tc>
      </w:tr>
      <w:tr>
        <w:tc>
          <w:tcPr>
            <w:tcW w:type="dxa" w:w="4986"/>
          </w:tcPr>
          <w:p>
            <w:r>
              <w:rPr>
                <w:sz w:val="19"/>
              </w:rPr>
              <w:t>Polaridad</w:t>
            </w:r>
          </w:p>
        </w:tc>
        <w:tc>
          <w:tcPr>
            <w:tcW w:type="dxa" w:w="4986"/>
          </w:tcPr>
          <w:p>
            <w:r>
              <w:rPr>
                <w:sz w:val="19"/>
              </w:rPr>
              <w:t>Resultado por circuito fase-neutro.</w:t>
            </w:r>
          </w:p>
        </w:tc>
      </w:tr>
      <w:tr>
        <w:tc>
          <w:tcPr>
            <w:tcW w:type="dxa" w:w="4986"/>
          </w:tcPr>
          <w:p>
            <w:r>
              <w:rPr>
                <w:sz w:val="19"/>
              </w:rPr>
              <w:t>Secuencia de fases</w:t>
            </w:r>
          </w:p>
        </w:tc>
        <w:tc>
          <w:tcPr>
            <w:tcW w:type="dxa" w:w="4986"/>
          </w:tcPr>
          <w:p>
            <w:r>
              <w:rPr>
                <w:sz w:val="19"/>
              </w:rPr>
              <w:t>Resultado en circuitos trifásicos.</w:t>
            </w:r>
          </w:p>
        </w:tc>
      </w:tr>
      <w:tr>
        <w:tc>
          <w:tcPr>
            <w:tcW w:type="dxa" w:w="4986"/>
          </w:tcPr>
          <w:p>
            <w:r>
              <w:rPr>
                <w:sz w:val="19"/>
              </w:rPr>
              <w:t>RCD general</w:t>
            </w:r>
          </w:p>
        </w:tc>
        <w:tc>
          <w:tcPr>
            <w:tcW w:type="dxa" w:w="4986"/>
          </w:tcPr>
          <w:p>
            <w:r>
              <w:rPr>
                <w:sz w:val="19"/>
              </w:rPr>
              <w:t>Tiempo de ensayo registrado y reutilizado en la evaluación de contactos indirectos cuando corresponde.</w:t>
            </w:r>
          </w:p>
        </w:tc>
      </w:tr>
      <w:tr>
        <w:tc>
          <w:tcPr>
            <w:tcW w:type="dxa" w:w="4986"/>
          </w:tcPr>
          <w:p>
            <w:r>
              <w:rPr>
                <w:sz w:val="19"/>
              </w:rPr>
              <w:t>RCD dedicado</w:t>
            </w:r>
          </w:p>
        </w:tc>
        <w:tc>
          <w:tcPr>
            <w:tcW w:type="dxa" w:w="4986"/>
          </w:tcPr>
          <w:p>
            <w:r>
              <w:rPr>
                <w:sz w:val="19"/>
              </w:rPr>
              <w:t>Tiempo de actuación por circuito cuando existe protección diferencial individual.</w:t>
            </w:r>
          </w:p>
        </w:tc>
      </w:tr>
      <w:tr>
        <w:tc>
          <w:tcPr>
            <w:tcW w:type="dxa" w:w="4986"/>
          </w:tcPr>
          <w:p>
            <w:r>
              <w:rPr>
                <w:sz w:val="19"/>
              </w:rPr>
              <w:t>Continuidad PE</w:t>
            </w:r>
          </w:p>
        </w:tc>
        <w:tc>
          <w:tcPr>
            <w:tcW w:type="dxa" w:w="4986"/>
          </w:tcPr>
          <w:p>
            <w:r>
              <w:rPr>
                <w:sz w:val="19"/>
              </w:rPr>
              <w:t>Reutiliza el ensayo del módulo PE/equipotencialidad.</w:t>
            </w:r>
          </w:p>
        </w:tc>
      </w:tr>
      <w:tr>
        <w:tc>
          <w:tcPr>
            <w:tcW w:type="dxa" w:w="4986"/>
          </w:tcPr>
          <w:p>
            <w:r>
              <w:rPr>
                <w:sz w:val="19"/>
              </w:rPr>
              <w:t>Resistencia de tierra</w:t>
            </w:r>
          </w:p>
        </w:tc>
        <w:tc>
          <w:tcPr>
            <w:tcW w:type="dxa" w:w="4986"/>
          </w:tcPr>
          <w:p>
            <w:r>
              <w:rPr>
                <w:sz w:val="19"/>
              </w:rPr>
              <w:t>Reutiliza la medición de puesta a tierra.</w:t>
            </w:r>
          </w:p>
        </w:tc>
      </w:tr>
      <w:tr>
        <w:tc>
          <w:tcPr>
            <w:tcW w:type="dxa" w:w="4986"/>
          </w:tcPr>
          <w:p>
            <w:r>
              <w:rPr>
                <w:sz w:val="19"/>
              </w:rPr>
              <w:t>Impedancia de lazo de defecto</w:t>
            </w:r>
          </w:p>
        </w:tc>
        <w:tc>
          <w:tcPr>
            <w:tcW w:type="dxa" w:w="4986"/>
          </w:tcPr>
          <w:p>
            <w:r>
              <w:rPr>
                <w:sz w:val="19"/>
              </w:rPr>
              <w:t>Campo separado de la impedancia L-N/L-L; se usa sólo cuando el método/esquema de verificación lo requiere.</w:t>
            </w:r>
          </w:p>
        </w:tc>
      </w:tr>
      <w:tr>
        <w:tc>
          <w:tcPr>
            <w:tcW w:type="dxa" w:w="4986"/>
          </w:tcPr>
          <w:p>
            <w:r>
              <w:rPr>
                <w:sz w:val="19"/>
              </w:rPr>
              <w:t>Pruebas funcionales</w:t>
            </w:r>
          </w:p>
        </w:tc>
        <w:tc>
          <w:tcPr>
            <w:tcW w:type="dxa" w:w="4986"/>
          </w:tcPr>
          <w:p>
            <w:r>
              <w:rPr>
                <w:sz w:val="19"/>
              </w:rPr>
              <w:t>Resultado general de aparatos/funciones.</w:t>
            </w:r>
          </w:p>
        </w:tc>
      </w:tr>
      <w:tr>
        <w:tc>
          <w:tcPr>
            <w:tcW w:type="dxa" w:w="4986"/>
          </w:tcPr>
          <w:p>
            <w:r>
              <w:rPr>
                <w:sz w:val="19"/>
              </w:rPr>
              <w:t>Trazabilidad</w:t>
            </w:r>
          </w:p>
        </w:tc>
        <w:tc>
          <w:tcPr>
            <w:tcW w:type="dxa" w:w="4986"/>
          </w:tcPr>
          <w:p>
            <w:r>
              <w:rPr>
                <w:sz w:val="19"/>
              </w:rPr>
              <w:t>Fecha, técnico, instrumento, número de serie y estado de calibración/verificación.</w:t>
            </w:r>
          </w:p>
        </w:tc>
      </w:tr>
    </w:tbl>
    <w:p/>
    <w:p>
      <w:pPr>
        <w:pStyle w:val="Heading1"/>
      </w:pPr>
      <w:r>
        <w:t>17. Materiales y presupuesto</w:t>
      </w:r>
    </w:p>
    <w:p>
      <w:pPr>
        <w:spacing w:after="160"/>
      </w:pPr>
      <w:r>
        <w:rPr>
          <w:b w:val="0"/>
          <w:sz w:val="21"/>
        </w:rPr>
        <w:t>La aplicación genera materiales a partir de los circuitos y del alimentador, permite editar cantidades y precios, calcula mano de obra y totales, y diferencia la salida destinada al cliente de la copia técnica interna.</w:t>
      </w:r>
    </w:p>
    <w:p>
      <w:pPr>
        <w:pStyle w:val="ListBullet"/>
      </w:pPr>
      <w:r>
        <w:rPr>
          <w:sz w:val="21"/>
        </w:rPr>
        <w:t>Lista de materiales derivada de circuitos y alimentador, con edición manual posterior.</w:t>
      </w:r>
    </w:p>
    <w:p>
      <w:pPr>
        <w:pStyle w:val="ListBullet"/>
      </w:pPr>
      <w:r>
        <w:rPr>
          <w:sz w:val="21"/>
        </w:rPr>
        <w:t>Conductores del alimentador separados por fases, neutro y PE.</w:t>
      </w:r>
    </w:p>
    <w:p>
      <w:pPr>
        <w:pStyle w:val="ListBullet"/>
      </w:pPr>
      <w:r>
        <w:rPr>
          <w:sz w:val="21"/>
        </w:rPr>
        <w:t>Catálogo de precios editable (precio de lista, sin descuentos promocionales) y parámetros de mano de obra configurables.</w:t>
      </w:r>
    </w:p>
    <w:p>
      <w:pPr>
        <w:pStyle w:val="ListBullet"/>
      </w:pPr>
      <w:r>
        <w:rPr>
          <w:sz w:val="21"/>
        </w:rPr>
        <w:t>Desglose interno de costos y total del presupuesto.</w:t>
      </w:r>
    </w:p>
    <w:p>
      <w:pPr>
        <w:pStyle w:val="ListBullet"/>
      </w:pPr>
      <w:r>
        <w:rPr>
          <w:sz w:val="21"/>
        </w:rPr>
        <w:t>Condiciones comerciales e ítems incluidos.</w:t>
      </w:r>
    </w:p>
    <w:p>
      <w:pPr>
        <w:pStyle w:val="ListBullet"/>
      </w:pPr>
      <w:r>
        <w:rPr>
          <w:sz w:val="21"/>
        </w:rPr>
        <w:t>Generación de PDF y flujo de compartir por WhatsApp/Web Share cuando el dispositivo lo permite.</w:t>
      </w:r>
    </w:p>
    <w:p>
      <w:pPr>
        <w:pStyle w:val="Heading1"/>
      </w:pPr>
      <w:r>
        <w:t>18. Memoria técnica, protocolo, unifilar y expediente (Pasos 15 y 16)</w:t>
      </w:r>
    </w:p>
    <w:p>
      <w:pPr>
        <w:spacing w:after="160"/>
      </w:pPr>
      <w:r>
        <w:rPr>
          <w:b w:val="0"/>
          <w:sz w:val="21"/>
        </w:rPr>
        <w:t>En el Paso 15 se mejoró la lectura documental de la copia interna del PDF sin modificar las fórmulas del motor: resumen técnico global al inicio y pie de página versionado en todas las hojas. El Paso 16 agrega la posibilidad de generar los documentos por separado y un cierre formal de obra.</w:t>
      </w:r>
    </w:p>
    <w:p>
      <w:pPr>
        <w:pStyle w:val="ListBullet"/>
      </w:pPr>
      <w:r>
        <w:rPr>
          <w:sz w:val="21"/>
        </w:rPr>
        <w:t>Encabezado ADONAI ELECTRICAL, slogan, identificación de presupuesto/obra, cliente y fecha.</w:t>
      </w:r>
    </w:p>
    <w:p>
      <w:pPr>
        <w:pStyle w:val="ListBullet"/>
      </w:pPr>
      <w:r>
        <w:rPr>
          <w:sz w:val="21"/>
        </w:rPr>
        <w:t>Resumen técnico de la instalación: estado global, sistema, potencia instalada, potencia demandada y conteo de circuitos por estado.</w:t>
      </w:r>
    </w:p>
    <w:p>
      <w:pPr>
        <w:pStyle w:val="ListBullet"/>
      </w:pPr>
      <w:r>
        <w:rPr>
          <w:sz w:val="21"/>
        </w:rPr>
        <w:t>Comprobación detallada de circuitos, balance de fases, alimentador general, PE/equipotencialidad, protección general/tierra/sobretensiones y protocolo de ensayos.</w:t>
      </w:r>
    </w:p>
    <w:p>
      <w:pPr>
        <w:pStyle w:val="ListBullet"/>
      </w:pPr>
      <w:r>
        <w:rPr>
          <w:sz w:val="21"/>
        </w:rPr>
        <w:t>Materiales, desglose interno, total y condiciones.</w:t>
      </w:r>
    </w:p>
    <w:p>
      <w:pPr>
        <w:pStyle w:val="ListBullet"/>
      </w:pPr>
      <w:r>
        <w:rPr>
          <w:sz w:val="21"/>
        </w:rPr>
        <w:t>Pie de página con identidad ADONAI, tipo de documento, motor 3.0.0, paquete normativo 2.2 y numeración Página X de Y.</w:t>
      </w:r>
    </w:p>
    <w:p>
      <w:pPr>
        <w:pStyle w:val="ListBullet"/>
      </w:pPr>
      <w:r>
        <w:rPr>
          <w:sz w:val="21"/>
        </w:rPr>
        <w:t>Nuevo (Paso 16): generación independiente de Memoria Técnica, Protocolo de Ensayos y Esquema Unifilar simplificado, o de un Expediente Técnico combinado (portada, memoria, protocolo, unifilar, declaración/firma y hasta 6 anexos fotográficos).</w:t>
      </w:r>
    </w:p>
    <w:p>
      <w:pPr>
        <w:pStyle w:val="ListBullet"/>
      </w:pPr>
      <w:r>
        <w:rPr>
          <w:sz w:val="21"/>
        </w:rPr>
        <w:t>Un documento con faltantes o incumplimientos se emite marcado como BORRADOR.</w:t>
      </w:r>
    </w:p>
    <w:p>
      <w:pPr>
        <w:spacing w:after="160"/>
      </w:pPr>
      <w:r>
        <w:rPr>
          <w:b w:val="0"/>
          <w:sz w:val="21"/>
        </w:rPr>
        <w:t>El resumen técnico conserva la advertencia explícita: un estado Pendiente no debe interpretarse como cierre técnico definitivo; un estado No cumple requiere corrección antes del cierre.</w:t>
      </w:r>
    </w:p>
    <w:p>
      <w:pPr>
        <w:pStyle w:val="Heading1"/>
      </w:pPr>
      <w:r>
        <w:t>19. Cierre profesional de obra (nuevo — Paso 16)</w:t>
      </w:r>
    </w:p>
    <w:p>
      <w:pPr>
        <w:spacing w:after="160"/>
      </w:pPr>
      <w:r>
        <w:rPr>
          <w:b w:val="0"/>
          <w:sz w:val="21"/>
        </w:rPr>
        <w:t>Antes de emitir documentación definitiva, la app exige una revisión final de la obra. El estado documental se calcula automáticamente a partir de todos los estados anteriores (circuitos, protección general y tierra, PE/equipotencialidad, protocolo de ensayos) y de los datos propios del cierre:</w:t>
      </w:r>
    </w:p>
    <w:tbl>
      <w:tblPr>
        <w:tblStyle w:val="TableGrid"/>
        <w:tblW w:type="auto" w:w="0"/>
        <w:jc w:val="center"/>
        <w:tblLook w:firstColumn="1" w:firstRow="1" w:lastColumn="0" w:lastRow="0" w:noHBand="0" w:noVBand="1" w:val="04A0"/>
      </w:tblPr>
      <w:tblGrid>
        <w:gridCol w:w="4986"/>
        <w:gridCol w:w="4986"/>
      </w:tblGrid>
      <w:tr>
        <w:tc>
          <w:tcPr>
            <w:tcW w:type="dxa" w:w="4986"/>
            <w:shd w:val="clear" w:fill="E7E7E7"/>
          </w:tcPr>
          <w:p>
            <w:r>
              <w:rPr>
                <w:b/>
                <w:sz w:val="19"/>
              </w:rPr>
              <w:t>Estado documental</w:t>
            </w:r>
          </w:p>
        </w:tc>
        <w:tc>
          <w:tcPr>
            <w:tcW w:type="dxa" w:w="4986"/>
            <w:shd w:val="clear" w:fill="E7E7E7"/>
          </w:tcPr>
          <w:p>
            <w:r>
              <w:rPr>
                <w:b/>
                <w:sz w:val="19"/>
              </w:rPr>
              <w:t>Significado</w:t>
            </w:r>
          </w:p>
        </w:tc>
      </w:tr>
      <w:tr>
        <w:tc>
          <w:tcPr>
            <w:tcW w:type="dxa" w:w="4986"/>
          </w:tcPr>
          <w:p>
            <w:r>
              <w:rPr>
                <w:sz w:val="19"/>
              </w:rPr>
              <w:t>Listo para emitir</w:t>
            </w:r>
          </w:p>
        </w:tc>
        <w:tc>
          <w:tcPr>
            <w:tcW w:type="dxa" w:w="4986"/>
          </w:tcPr>
          <w:p>
            <w:r>
              <w:rPr>
                <w:sz w:val="19"/>
              </w:rPr>
              <w:t>No hay circuitos no conformes, verificaciones pendientes ni ensayos incompletos, y el responsable técnico está identificado y declaró conformidad.</w:t>
            </w:r>
          </w:p>
        </w:tc>
      </w:tr>
      <w:tr>
        <w:tc>
          <w:tcPr>
            <w:tcW w:type="dxa" w:w="4986"/>
          </w:tcPr>
          <w:p>
            <w:r>
              <w:rPr>
                <w:sz w:val="19"/>
              </w:rPr>
              <w:t>Pendiente</w:t>
            </w:r>
          </w:p>
        </w:tc>
        <w:tc>
          <w:tcPr>
            <w:tcW w:type="dxa" w:w="4986"/>
          </w:tcPr>
          <w:p>
            <w:r>
              <w:rPr>
                <w:sz w:val="19"/>
              </w:rPr>
              <w:t>Falta algún dato, ensayo o confirmación para cerrar la obra; se puede emitir un borrador.</w:t>
            </w:r>
          </w:p>
        </w:tc>
      </w:tr>
      <w:tr>
        <w:tc>
          <w:tcPr>
            <w:tcW w:type="dxa" w:w="4986"/>
          </w:tcPr>
          <w:p>
            <w:r>
              <w:rPr>
                <w:sz w:val="19"/>
              </w:rPr>
              <w:t>No cumple</w:t>
            </w:r>
          </w:p>
        </w:tc>
        <w:tc>
          <w:tcPr>
            <w:tcW w:type="dxa" w:w="4986"/>
          </w:tcPr>
          <w:p>
            <w:r>
              <w:rPr>
                <w:sz w:val="19"/>
              </w:rPr>
              <w:t>Existe al menos una condición calculada o ensayada que no se satisface; el expediente se emite marcado como BORRADOR.</w:t>
            </w:r>
          </w:p>
        </w:tc>
      </w:tr>
    </w:tbl>
    <w:p/>
    <w:p>
      <w:pPr>
        <w:pStyle w:val="ListBullet"/>
      </w:pPr>
      <w:r>
        <w:rPr>
          <w:sz w:val="21"/>
        </w:rPr>
        <w:t>Identificación del responsable técnico: nombre, categoría/habilitación UTE y fecha de cierre.</w:t>
      </w:r>
    </w:p>
    <w:p>
      <w:pPr>
        <w:pStyle w:val="ListBullet"/>
      </w:pPr>
      <w:r>
        <w:rPr>
          <w:sz w:val="21"/>
        </w:rPr>
        <w:t>Declaración expresa del responsable técnico.</w:t>
      </w:r>
    </w:p>
    <w:p>
      <w:pPr>
        <w:pStyle w:val="ListBullet"/>
      </w:pPr>
      <w:r>
        <w:rPr>
          <w:sz w:val="21"/>
        </w:rPr>
        <w:t>Firma gráfica opcional incorporable al expediente (documental; no equivale a una firma digital certificada).</w:t>
      </w:r>
    </w:p>
    <w:p>
      <w:pPr>
        <w:pStyle w:val="ListBullet"/>
      </w:pPr>
      <w:r>
        <w:rPr>
          <w:sz w:val="21"/>
        </w:rPr>
        <w:t>Hasta 6 anexos fotográficos comprimidos dentro del proyecto.</w:t>
      </w:r>
    </w:p>
    <w:p>
      <w:pPr>
        <w:pStyle w:val="ListBullet"/>
      </w:pPr>
      <w:r>
        <w:rPr>
          <w:sz w:val="21"/>
        </w:rPr>
        <w:t>Generación independiente de Memoria Técnica, Protocolo de Ensayos y Esquema Unifilar, o de un Expediente Técnico completo.</w:t>
      </w:r>
    </w:p>
    <w:p>
      <w:pPr>
        <w:pStyle w:val="ListBullet"/>
      </w:pPr>
      <w:r>
        <w:rPr>
          <w:sz w:val="21"/>
        </w:rPr>
        <w:t>El esquema unifilar simplificado se genera automáticamente a partir del suministro, la protección general, el RCD y los circuitos relevados.</w:t>
      </w:r>
    </w:p>
    <w:p>
      <w:pPr>
        <w:pStyle w:val="ListBullet"/>
      </w:pPr>
      <w:r>
        <w:rPr>
          <w:sz w:val="21"/>
        </w:rPr>
        <w:t>Al duplicar un trabajo, los datos de cierre y firma se reinician: no se hereda una aprobación anterior a una copia nueva.</w:t>
      </w:r>
    </w:p>
    <w:p>
      <w:pPr>
        <w:pStyle w:val="Heading1"/>
      </w:pPr>
      <w:r>
        <w:t>20. Persistencia, respaldo y funcionamiento offline</w:t>
      </w:r>
    </w:p>
    <w:p>
      <w:pPr>
        <w:spacing w:after="160"/>
      </w:pPr>
      <w:r>
        <w:rPr>
          <w:b w:val="0"/>
          <w:sz w:val="21"/>
        </w:rPr>
        <w:t>Los datos se guardan localmente en el navegador/dispositivo. La aplicación implementa versionado de esquema y migraciones para preservar compatibilidad entre versiones, además de respaldo/importación y una PWA con precarga de recursos para uso offline.</w:t>
      </w:r>
    </w:p>
    <w:p>
      <w:pPr>
        <w:pStyle w:val="ListBullet"/>
      </w:pPr>
      <w:r>
        <w:rPr>
          <w:sz w:val="21"/>
        </w:rPr>
        <w:t>Esquema de datos actual: v14.</w:t>
      </w:r>
    </w:p>
    <w:p>
      <w:pPr>
        <w:pStyle w:val="ListBullet"/>
      </w:pPr>
      <w:r>
        <w:rPr>
          <w:sz w:val="21"/>
        </w:rPr>
        <w:t>Migraciones conservadoras: nuevos campos críticos no se completan con valores "favorables" en proyectos antiguos; quedan Pendiente cuando no existían. Un trabajo antiguo nunca se considera cerrado automáticamente por el Paso 16.</w:t>
      </w:r>
    </w:p>
    <w:p>
      <w:pPr>
        <w:pStyle w:val="ListBullet"/>
      </w:pPr>
      <w:r>
        <w:rPr>
          <w:sz w:val="21"/>
        </w:rPr>
        <w:t>Alerta persistente si el navegador no puede guardar correctamente.</w:t>
      </w:r>
    </w:p>
    <w:p>
      <w:pPr>
        <w:pStyle w:val="ListBullet"/>
      </w:pPr>
      <w:r>
        <w:rPr>
          <w:sz w:val="21"/>
        </w:rPr>
        <w:t>Service Worker / caché actual v16, con precarga de los recursos esenciales para abrir la app sin señal desde la primera instalación.</w:t>
      </w:r>
    </w:p>
    <w:p>
      <w:pPr>
        <w:pStyle w:val="ListBullet"/>
      </w:pPr>
      <w:r>
        <w:rPr>
          <w:sz w:val="21"/>
        </w:rPr>
        <w:t>Respaldo e importación de datos desde la app.</w:t>
      </w:r>
    </w:p>
    <w:p>
      <w:pPr>
        <w:pStyle w:val="ListBullet"/>
      </w:pPr>
      <w:r>
        <w:rPr>
          <w:sz w:val="21"/>
        </w:rPr>
        <w:t>El PIN actual es un bloqueo de interfaz; no cifra la base local.</w:t>
      </w:r>
    </w:p>
    <w:p>
      <w:pPr>
        <w:pStyle w:val="Heading1"/>
      </w:pPr>
      <w:r>
        <w:t>21. Base normativa que la app referencia</w:t>
      </w:r>
    </w:p>
    <w:p>
      <w:pPr>
        <w:spacing w:after="160"/>
      </w:pPr>
      <w:r>
        <w:rPr>
          <w:b w:val="0"/>
          <w:sz w:val="21"/>
        </w:rPr>
        <w:t>La app utiliza como base principal el Reglamento de Baja Tensión de UTE y referencias IEC complementarias. La referencia exacta mostrada depende del cálculo. El documento técnico debe interpretarse como una herramienta de apoyo y trazabilidad del criterio aplicado, no como reproducción íntegra de las normas.</w:t>
      </w:r>
    </w:p>
    <w:tbl>
      <w:tblPr>
        <w:tblStyle w:val="TableGrid"/>
        <w:tblW w:type="auto" w:w="0"/>
        <w:jc w:val="center"/>
        <w:tblLook w:firstColumn="1" w:firstRow="1" w:lastColumn="0" w:lastRow="0" w:noHBand="0" w:noVBand="1" w:val="04A0"/>
      </w:tblPr>
      <w:tblGrid>
        <w:gridCol w:w="4986"/>
        <w:gridCol w:w="4986"/>
      </w:tblGrid>
      <w:tr>
        <w:tc>
          <w:tcPr>
            <w:tcW w:type="dxa" w:w="4986"/>
            <w:shd w:val="clear" w:fill="E7E7E7"/>
          </w:tcPr>
          <w:p>
            <w:r>
              <w:rPr>
                <w:b/>
                <w:sz w:val="19"/>
              </w:rPr>
              <w:t>Referencia</w:t>
            </w:r>
          </w:p>
        </w:tc>
        <w:tc>
          <w:tcPr>
            <w:tcW w:type="dxa" w:w="4986"/>
            <w:shd w:val="clear" w:fill="E7E7E7"/>
          </w:tcPr>
          <w:p>
            <w:r>
              <w:rPr>
                <w:b/>
                <w:sz w:val="19"/>
              </w:rPr>
              <w:t>Uso principal dentro de la app</w:t>
            </w:r>
          </w:p>
        </w:tc>
      </w:tr>
      <w:tr>
        <w:tc>
          <w:tcPr>
            <w:tcW w:type="dxa" w:w="4986"/>
          </w:tcPr>
          <w:p>
            <w:r>
              <w:rPr>
                <w:sz w:val="19"/>
              </w:rPr>
              <w:t>UTE RBT Cap. II y Anexo</w:t>
            </w:r>
          </w:p>
        </w:tc>
        <w:tc>
          <w:tcPr>
            <w:tcW w:type="dxa" w:w="4986"/>
          </w:tcPr>
          <w:p>
            <w:r>
              <w:rPr>
                <w:sz w:val="19"/>
              </w:rPr>
              <w:t>Conductores, cortocircuito, desequilibrio y criterios de dimensionado utilizados por el motor.</w:t>
            </w:r>
          </w:p>
        </w:tc>
      </w:tr>
      <w:tr>
        <w:tc>
          <w:tcPr>
            <w:tcW w:type="dxa" w:w="4986"/>
          </w:tcPr>
          <w:p>
            <w:r>
              <w:rPr>
                <w:sz w:val="19"/>
              </w:rPr>
              <w:t>UTE RBT Cap. V</w:t>
            </w:r>
          </w:p>
        </w:tc>
        <w:tc>
          <w:tcPr>
            <w:tcW w:type="dxa" w:w="4986"/>
          </w:tcPr>
          <w:p>
            <w:r>
              <w:rPr>
                <w:sz w:val="19"/>
              </w:rPr>
              <w:t>Tablero general, protecciones, distribución y sobretensiones atmosféricas.</w:t>
            </w:r>
          </w:p>
        </w:tc>
      </w:tr>
      <w:tr>
        <w:tc>
          <w:tcPr>
            <w:tcW w:type="dxa" w:w="4986"/>
          </w:tcPr>
          <w:p>
            <w:r>
              <w:rPr>
                <w:sz w:val="19"/>
              </w:rPr>
              <w:t>UTE RBT Cap. VI / XXIII</w:t>
            </w:r>
          </w:p>
        </w:tc>
        <w:tc>
          <w:tcPr>
            <w:tcW w:type="dxa" w:w="4986"/>
          </w:tcPr>
          <w:p>
            <w:r>
              <w:rPr>
                <w:sz w:val="19"/>
              </w:rPr>
              <w:t>Puesta a tierra, tensión de contacto, PE y continuidad del circuito de tierra.</w:t>
            </w:r>
          </w:p>
        </w:tc>
      </w:tr>
      <w:tr>
        <w:tc>
          <w:tcPr>
            <w:tcW w:type="dxa" w:w="4986"/>
          </w:tcPr>
          <w:p>
            <w:r>
              <w:rPr>
                <w:sz w:val="19"/>
              </w:rPr>
              <w:t>UTE RBT Cap. XXX</w:t>
            </w:r>
          </w:p>
        </w:tc>
        <w:tc>
          <w:tcPr>
            <w:tcW w:type="dxa" w:w="4986"/>
          </w:tcPr>
          <w:p>
            <w:r>
              <w:rPr>
                <w:sz w:val="19"/>
              </w:rPr>
              <w:t>Puntos de conexión de vehículos eléctricos: diferencial individual, modo de carga y tipo exigido.</w:t>
            </w:r>
          </w:p>
        </w:tc>
      </w:tr>
      <w:tr>
        <w:tc>
          <w:tcPr>
            <w:tcW w:type="dxa" w:w="4986"/>
          </w:tcPr>
          <w:p>
            <w:r>
              <w:rPr>
                <w:sz w:val="19"/>
              </w:rPr>
              <w:t>Comunicado UTE 26002 (19/02/2026)</w:t>
            </w:r>
          </w:p>
        </w:tc>
        <w:tc>
          <w:tcPr>
            <w:tcW w:type="dxa" w:w="4986"/>
          </w:tcPr>
          <w:p>
            <w:r>
              <w:rPr>
                <w:sz w:val="19"/>
              </w:rPr>
              <w:t>Diferencial general de 30 mA en instalaciones domiciliarias; admite interruptores automáticos o fusibles adecuados para sobrecorrientes.</w:t>
            </w:r>
          </w:p>
        </w:tc>
      </w:tr>
      <w:tr>
        <w:tc>
          <w:tcPr>
            <w:tcW w:type="dxa" w:w="4986"/>
          </w:tcPr>
          <w:p>
            <w:r>
              <w:rPr>
                <w:sz w:val="19"/>
              </w:rPr>
              <w:t>Normativa UTE de instalaciones de enlace (agosto 2026)</w:t>
            </w:r>
          </w:p>
        </w:tc>
        <w:tc>
          <w:tcPr>
            <w:tcW w:type="dxa" w:w="4986"/>
          </w:tcPr>
          <w:p>
            <w:r>
              <w:rPr>
                <w:sz w:val="19"/>
              </w:rPr>
              <w:t>Distinción entre protección interior y PDIE cuando corresponda.</w:t>
            </w:r>
          </w:p>
        </w:tc>
      </w:tr>
      <w:tr>
        <w:tc>
          <w:tcPr>
            <w:tcW w:type="dxa" w:w="4986"/>
          </w:tcPr>
          <w:p>
            <w:r>
              <w:rPr>
                <w:sz w:val="19"/>
              </w:rPr>
              <w:t>IEC 60364-5-52</w:t>
            </w:r>
          </w:p>
        </w:tc>
        <w:tc>
          <w:tcPr>
            <w:tcW w:type="dxa" w:w="4986"/>
          </w:tcPr>
          <w:p>
            <w:r>
              <w:rPr>
                <w:sz w:val="19"/>
              </w:rPr>
              <w:t>Factores complementarios de capacidad de conducción, incluido terreno enterrado (Tabla B.52.16) dentro del alcance implementado.</w:t>
            </w:r>
          </w:p>
        </w:tc>
      </w:tr>
      <w:tr>
        <w:tc>
          <w:tcPr>
            <w:tcW w:type="dxa" w:w="4986"/>
          </w:tcPr>
          <w:p>
            <w:r>
              <w:rPr>
                <w:sz w:val="19"/>
              </w:rPr>
              <w:t>IEC 60364-5-53</w:t>
            </w:r>
          </w:p>
        </w:tc>
        <w:tc>
          <w:tcPr>
            <w:tcW w:type="dxa" w:w="4986"/>
          </w:tcPr>
          <w:p>
            <w:r>
              <w:rPr>
                <w:sz w:val="19"/>
              </w:rPr>
              <w:t>Dispositivos de protección, RCD, fugas y coordinación/selectividad según alcance aplicado.</w:t>
            </w:r>
          </w:p>
        </w:tc>
      </w:tr>
      <w:tr>
        <w:tc>
          <w:tcPr>
            <w:tcW w:type="dxa" w:w="4986"/>
          </w:tcPr>
          <w:p>
            <w:r>
              <w:rPr>
                <w:sz w:val="19"/>
              </w:rPr>
              <w:t>IEC 60364-5-54</w:t>
            </w:r>
          </w:p>
        </w:tc>
        <w:tc>
          <w:tcPr>
            <w:tcW w:type="dxa" w:w="4986"/>
          </w:tcPr>
          <w:p>
            <w:r>
              <w:rPr>
                <w:sz w:val="19"/>
              </w:rPr>
              <w:t>Dimensionado complementario de PE y equipotencialidad.</w:t>
            </w:r>
          </w:p>
        </w:tc>
      </w:tr>
      <w:tr>
        <w:tc>
          <w:tcPr>
            <w:tcW w:type="dxa" w:w="4986"/>
          </w:tcPr>
          <w:p>
            <w:r>
              <w:rPr>
                <w:sz w:val="19"/>
              </w:rPr>
              <w:t>IEC 60364-4-41</w:t>
            </w:r>
          </w:p>
        </w:tc>
        <w:tc>
          <w:tcPr>
            <w:tcW w:type="dxa" w:w="4986"/>
          </w:tcPr>
          <w:p>
            <w:r>
              <w:rPr>
                <w:sz w:val="19"/>
              </w:rPr>
              <w:t>Protección contra choque, TT/IT y tiempos de desconexión utilizados por la app.</w:t>
            </w:r>
          </w:p>
        </w:tc>
      </w:tr>
      <w:tr>
        <w:tc>
          <w:tcPr>
            <w:tcW w:type="dxa" w:w="4986"/>
          </w:tcPr>
          <w:p>
            <w:r>
              <w:rPr>
                <w:sz w:val="19"/>
              </w:rPr>
              <w:t>IEC 60364-6</w:t>
            </w:r>
          </w:p>
        </w:tc>
        <w:tc>
          <w:tcPr>
            <w:tcW w:type="dxa" w:w="4986"/>
          </w:tcPr>
          <w:p>
            <w:r>
              <w:rPr>
                <w:sz w:val="19"/>
              </w:rPr>
              <w:t>Verificación inicial y protocolo de ensayos.</w:t>
            </w:r>
          </w:p>
        </w:tc>
      </w:tr>
      <w:tr>
        <w:tc>
          <w:tcPr>
            <w:tcW w:type="dxa" w:w="4986"/>
          </w:tcPr>
          <w:p>
            <w:r>
              <w:rPr>
                <w:sz w:val="19"/>
              </w:rPr>
              <w:t>IEC 60898-1</w:t>
            </w:r>
          </w:p>
        </w:tc>
        <w:tc>
          <w:tcPr>
            <w:tcW w:type="dxa" w:w="4986"/>
          </w:tcPr>
          <w:p>
            <w:r>
              <w:rPr>
                <w:sz w:val="19"/>
              </w:rPr>
              <w:t>Curvas B/C/D, zonas magnéticas e Icn de interruptores automáticos.</w:t>
            </w:r>
          </w:p>
        </w:tc>
      </w:tr>
    </w:tbl>
    <w:p/>
    <w:p>
      <w:pPr>
        <w:pStyle w:val="Heading1"/>
      </w:pPr>
      <w:r>
        <w:t>22. Salvaguardas contra falsos "Verificado"</w:t>
      </w:r>
    </w:p>
    <w:p>
      <w:pPr>
        <w:spacing w:after="160"/>
      </w:pPr>
      <w:r>
        <w:rPr>
          <w:b w:val="0"/>
          <w:sz w:val="21"/>
        </w:rPr>
        <w:t>Esta es una de las características más importantes de la versión actual. Entre otros casos, la app evita cerrar como Verificado cuando ocurre alguno de los siguientes escenarios:</w:t>
      </w:r>
    </w:p>
    <w:p>
      <w:pPr>
        <w:pStyle w:val="ListBullet"/>
      </w:pPr>
      <w:r>
        <w:rPr>
          <w:sz w:val="21"/>
        </w:rPr>
        <w:t>No se midió la resistencia de tierra cuando la comprobación la necesita.</w:t>
      </w:r>
    </w:p>
    <w:p>
      <w:pPr>
        <w:pStyle w:val="ListBullet"/>
      </w:pPr>
      <w:r>
        <w:rPr>
          <w:sz w:val="21"/>
        </w:rPr>
        <w:t>Falta confirmar fases/tensión reales de un circuito dentro de un suministro trifásico.</w:t>
      </w:r>
    </w:p>
    <w:p>
      <w:pPr>
        <w:pStyle w:val="ListBullet"/>
      </w:pPr>
      <w:r>
        <w:rPr>
          <w:sz w:val="21"/>
        </w:rPr>
        <w:t>Un punto de carga VE no tiene modo de carga o diferencial individual documentado.</w:t>
      </w:r>
    </w:p>
    <w:p>
      <w:pPr>
        <w:pStyle w:val="ListBullet"/>
      </w:pPr>
      <w:r>
        <w:rPr>
          <w:sz w:val="21"/>
        </w:rPr>
        <w:t>La tabla de cortocircuito usada presenta una celda ambigua y no existe Icc medida/calculada alternativa.</w:t>
      </w:r>
    </w:p>
    <w:p>
      <w:pPr>
        <w:pStyle w:val="ListBullet"/>
      </w:pPr>
      <w:r>
        <w:rPr>
          <w:sz w:val="21"/>
        </w:rPr>
        <w:t>El circuito enterrado carece de resistividad térmica/profundidad o está fuera del alcance tabulado aplicado.</w:t>
      </w:r>
    </w:p>
    <w:p>
      <w:pPr>
        <w:pStyle w:val="ListBullet"/>
      </w:pPr>
      <w:r>
        <w:rPr>
          <w:sz w:val="21"/>
        </w:rPr>
        <w:t>No existe respaldo de fabricante para declarar selectividad entre interruptores.</w:t>
      </w:r>
    </w:p>
    <w:p>
      <w:pPr>
        <w:pStyle w:val="ListBullet"/>
      </w:pPr>
      <w:r>
        <w:rPr>
          <w:sz w:val="21"/>
        </w:rPr>
        <w:t>Ik mínima no garantiza la zona magnética y falta la curva/tiempo de actuación.</w:t>
      </w:r>
    </w:p>
    <w:p>
      <w:pPr>
        <w:pStyle w:val="ListBullet"/>
      </w:pPr>
      <w:r>
        <w:rPr>
          <w:sz w:val="21"/>
        </w:rPr>
        <w:t>En TT/IT faltan tiempos de desconexión, Id, IMD o configuración de masas requerida.</w:t>
      </w:r>
    </w:p>
    <w:p>
      <w:pPr>
        <w:pStyle w:val="ListBullet"/>
      </w:pPr>
      <w:r>
        <w:rPr>
          <w:sz w:val="21"/>
        </w:rPr>
        <w:t>No se ensayó continuidad de PE/equipotenciales.</w:t>
      </w:r>
    </w:p>
    <w:p>
      <w:pPr>
        <w:pStyle w:val="ListBullet"/>
      </w:pPr>
      <w:r>
        <w:rPr>
          <w:sz w:val="21"/>
        </w:rPr>
        <w:t>No se completó aislamiento, polaridad, secuencia de fases, RCD o protocolo de puesta en servicio cuando aplica.</w:t>
      </w:r>
    </w:p>
    <w:p>
      <w:pPr>
        <w:pStyle w:val="ListBullet"/>
      </w:pPr>
      <w:r>
        <w:rPr>
          <w:sz w:val="21"/>
        </w:rPr>
        <w:t>El responsable técnico no está identificado o no confirmó su declaración de cierre (Paso 16).</w:t>
      </w:r>
    </w:p>
    <w:p>
      <w:pPr>
        <w:pStyle w:val="Heading1"/>
      </w:pPr>
      <w:r>
        <w:t>23. Límites y aspectos que todavía requieren criterio profesional</w:t>
      </w:r>
    </w:p>
    <w:p>
      <w:pPr>
        <w:spacing w:after="160"/>
      </w:pPr>
      <w:r>
        <w:rPr>
          <w:b w:val="0"/>
          <w:sz w:val="21"/>
        </w:rPr>
        <w:t>Aunque la app es sustancialmente más rigurosa que la versión inicial, hay verificaciones que por naturaleza dependen de datos externos, mediciones o documentación de fabricante. En esos casos el motor debe mantener el estado Pendiente hasta aportar evidencia.</w:t>
      </w:r>
    </w:p>
    <w:p>
      <w:pPr>
        <w:pStyle w:val="ListBullet"/>
      </w:pPr>
      <w:r>
        <w:rPr>
          <w:sz w:val="21"/>
        </w:rPr>
        <w:t>Curvas tiempo-corriente y tablas de selectividad específicas de fabricante.</w:t>
      </w:r>
    </w:p>
    <w:p>
      <w:pPr>
        <w:pStyle w:val="ListBullet"/>
      </w:pPr>
      <w:r>
        <w:rPr>
          <w:sz w:val="21"/>
        </w:rPr>
        <w:t>Energía pasante/I²t específica de dispositivos cuando una aproximación genérica no es suficiente.</w:t>
      </w:r>
    </w:p>
    <w:p>
      <w:pPr>
        <w:pStyle w:val="ListBullet"/>
      </w:pPr>
      <w:r>
        <w:rPr>
          <w:sz w:val="21"/>
        </w:rPr>
        <w:t>Estudios detallados fuera del alcance de tablas simplificadas: terrenos/profundidades especiales (fuera de 0,5 a 3,0 K·m/W o de 0,8 m), armónicos, alimentadores complejos, grandes instalaciones o configuraciones no modeladas.</w:t>
      </w:r>
    </w:p>
    <w:p>
      <w:pPr>
        <w:pStyle w:val="ListBullet"/>
      </w:pPr>
      <w:r>
        <w:rPr>
          <w:sz w:val="21"/>
        </w:rPr>
        <w:t>Determinación completa de SPD según evaluación de riesgo (IEC 62305-2) cuando el proyecto requiera un estudio específico.</w:t>
      </w:r>
    </w:p>
    <w:p>
      <w:pPr>
        <w:pStyle w:val="ListBullet"/>
      </w:pPr>
      <w:r>
        <w:rPr>
          <w:sz w:val="21"/>
        </w:rPr>
        <w:t>La firma gráfica del Paso 16 es documental: no sustituye una firma digital certificada cuando se requiera una.</w:t>
      </w:r>
    </w:p>
    <w:p>
      <w:pPr>
        <w:pStyle w:val="ListBullet"/>
      </w:pPr>
      <w:r>
        <w:rPr>
          <w:sz w:val="21"/>
        </w:rPr>
        <w:t>Interpretación y aprobación final por técnico habilitado, propietario de la instalación, organismo o autoridad competente según corresponda.</w:t>
      </w:r>
    </w:p>
    <w:p>
      <w:pPr>
        <w:pStyle w:val="Heading1"/>
      </w:pPr>
      <w:r>
        <w:t>24. Resultado actual y próximos desarrollos recomendables</w:t>
      </w:r>
    </w:p>
    <w:p>
      <w:pPr>
        <w:spacing w:after="160"/>
      </w:pPr>
      <w:r>
        <w:rPr>
          <w:b w:val="0"/>
          <w:sz w:val="21"/>
        </w:rPr>
        <w:t>Con el Paso 16, la app ya cubre el flujo técnico completo desde el relevamiento hasta el cierre profesional y el expediente técnico. Quedaron resueltos varios de los desarrollos que este mismo documento recomendaba al Paso 15 (separar memoria/protocolo/unifilar, firma del responsable, anexos fotográficos). Lo que sigue ya no son correcciones del motor, sino mejoras de productividad y gestión:</w:t>
      </w:r>
    </w:p>
    <w:p>
      <w:pPr>
        <w:pStyle w:val="ListBullet"/>
      </w:pPr>
      <w:r>
        <w:rPr>
          <w:sz w:val="21"/>
        </w:rPr>
        <w:t>Crear una matriz de documentación obligatoria según tipo de obra, previa a permitir el estado "Listo para emitir".</w:t>
      </w:r>
    </w:p>
    <w:p>
      <w:pPr>
        <w:pStyle w:val="ListBullet"/>
      </w:pPr>
      <w:r>
        <w:rPr>
          <w:sz w:val="21"/>
        </w:rPr>
        <w:t>Espacio de conformidad del cliente/inspector, además de la declaración del responsable técnico.</w:t>
      </w:r>
    </w:p>
    <w:p>
      <w:pPr>
        <w:pStyle w:val="ListBullet"/>
      </w:pPr>
      <w:r>
        <w:rPr>
          <w:sz w:val="21"/>
        </w:rPr>
        <w:t>Sincronización multi-dispositivo o almacenamiento central, si ADONAI pasa de uso individual a uso de equipo.</w:t>
      </w:r>
    </w:p>
    <w:p>
      <w:pPr>
        <w:pStyle w:val="ListBullet"/>
      </w:pPr>
      <w:r>
        <w:rPr>
          <w:sz w:val="21"/>
        </w:rPr>
        <w:t>Cifrado/autenticación real si en el futuro se almacenan datos sensibles o se habilita acceso multiusuario.</w:t>
      </w:r>
    </w:p>
    <w:p>
      <w:pPr>
        <w:pStyle w:val="ListBullet"/>
      </w:pPr>
      <w:r>
        <w:rPr>
          <w:sz w:val="21"/>
        </w:rPr>
        <w:t>Firma digital certificada como alternativa a la firma gráfica documental, si un trámite ante UTE u otro organismo la exige.</w:t>
      </w:r>
    </w:p>
    <w:p>
      <w:pPr>
        <w:pStyle w:val="Heading1"/>
      </w:pPr>
      <w:r>
        <w:t>25. Checklist de capacidades disponibles</w:t>
      </w:r>
    </w:p>
    <w:tbl>
      <w:tblPr>
        <w:tblStyle w:val="TableGrid"/>
        <w:tblW w:type="auto" w:w="0"/>
        <w:jc w:val="center"/>
        <w:tblLook w:firstColumn="1" w:firstRow="1" w:lastColumn="0" w:lastRow="0" w:noHBand="0" w:noVBand="1" w:val="04A0"/>
      </w:tblPr>
      <w:tblGrid>
        <w:gridCol w:w="4986"/>
        <w:gridCol w:w="4986"/>
      </w:tblGrid>
      <w:tr>
        <w:tc>
          <w:tcPr>
            <w:tcW w:type="dxa" w:w="4986"/>
            <w:shd w:val="clear" w:fill="E7E7E7"/>
          </w:tcPr>
          <w:p>
            <w:r>
              <w:rPr>
                <w:b/>
                <w:sz w:val="19"/>
              </w:rPr>
              <w:t>Capacidad</w:t>
            </w:r>
          </w:p>
        </w:tc>
        <w:tc>
          <w:tcPr>
            <w:tcW w:type="dxa" w:w="4986"/>
            <w:shd w:val="clear" w:fill="E7E7E7"/>
          </w:tcPr>
          <w:p>
            <w:r>
              <w:rPr>
                <w:b/>
                <w:sz w:val="19"/>
              </w:rPr>
              <w:t>Estado</w:t>
            </w:r>
          </w:p>
        </w:tc>
      </w:tr>
      <w:tr>
        <w:tc>
          <w:tcPr>
            <w:tcW w:type="dxa" w:w="4986"/>
          </w:tcPr>
          <w:p>
            <w:r>
              <w:rPr>
                <w:sz w:val="19"/>
              </w:rPr>
              <w:t>Relevamiento de cliente y obra</w:t>
            </w:r>
          </w:p>
        </w:tc>
        <w:tc>
          <w:tcPr>
            <w:tcW w:type="dxa" w:w="4986"/>
          </w:tcPr>
          <w:p>
            <w:r>
              <w:rPr>
                <w:sz w:val="19"/>
              </w:rPr>
              <w:t>Disponible</w:t>
            </w:r>
          </w:p>
        </w:tc>
      </w:tr>
      <w:tr>
        <w:tc>
          <w:tcPr>
            <w:tcW w:type="dxa" w:w="4986"/>
          </w:tcPr>
          <w:p>
            <w:r>
              <w:rPr>
                <w:sz w:val="19"/>
              </w:rPr>
              <w:t>Selección de sistema eléctrico</w:t>
            </w:r>
          </w:p>
        </w:tc>
        <w:tc>
          <w:tcPr>
            <w:tcW w:type="dxa" w:w="4986"/>
          </w:tcPr>
          <w:p>
            <w:r>
              <w:rPr>
                <w:sz w:val="19"/>
              </w:rPr>
              <w:t>Disponible</w:t>
            </w:r>
          </w:p>
        </w:tc>
      </w:tr>
      <w:tr>
        <w:tc>
          <w:tcPr>
            <w:tcW w:type="dxa" w:w="4986"/>
          </w:tcPr>
          <w:p>
            <w:r>
              <w:rPr>
                <w:sz w:val="19"/>
              </w:rPr>
              <w:t>Inventario de cargas y demanda</w:t>
            </w:r>
          </w:p>
        </w:tc>
        <w:tc>
          <w:tcPr>
            <w:tcW w:type="dxa" w:w="4986"/>
          </w:tcPr>
          <w:p>
            <w:r>
              <w:rPr>
                <w:sz w:val="19"/>
              </w:rPr>
              <w:t>Disponible</w:t>
            </w:r>
          </w:p>
        </w:tc>
      </w:tr>
      <w:tr>
        <w:tc>
          <w:tcPr>
            <w:tcW w:type="dxa" w:w="4986"/>
          </w:tcPr>
          <w:p>
            <w:r>
              <w:rPr>
                <w:sz w:val="19"/>
              </w:rPr>
              <w:t>Circuitos 1φ/3φ</w:t>
            </w:r>
          </w:p>
        </w:tc>
        <w:tc>
          <w:tcPr>
            <w:tcW w:type="dxa" w:w="4986"/>
          </w:tcPr>
          <w:p>
            <w:r>
              <w:rPr>
                <w:sz w:val="19"/>
              </w:rPr>
              <w:t>Disponible</w:t>
            </w:r>
          </w:p>
        </w:tc>
      </w:tr>
      <w:tr>
        <w:tc>
          <w:tcPr>
            <w:tcW w:type="dxa" w:w="4986"/>
          </w:tcPr>
          <w:p>
            <w:r>
              <w:rPr>
                <w:sz w:val="19"/>
              </w:rPr>
              <w:t>Dimensionado de conductor</w:t>
            </w:r>
          </w:p>
        </w:tc>
        <w:tc>
          <w:tcPr>
            <w:tcW w:type="dxa" w:w="4986"/>
          </w:tcPr>
          <w:p>
            <w:r>
              <w:rPr>
                <w:sz w:val="19"/>
              </w:rPr>
              <w:t>Disponible</w:t>
            </w:r>
          </w:p>
        </w:tc>
      </w:tr>
      <w:tr>
        <w:tc>
          <w:tcPr>
            <w:tcW w:type="dxa" w:w="4986"/>
          </w:tcPr>
          <w:p>
            <w:r>
              <w:rPr>
                <w:sz w:val="19"/>
              </w:rPr>
              <w:t>Margen automático de térmica</w:t>
            </w:r>
          </w:p>
        </w:tc>
        <w:tc>
          <w:tcPr>
            <w:tcW w:type="dxa" w:w="4986"/>
          </w:tcPr>
          <w:p>
            <w:r>
              <w:rPr>
                <w:sz w:val="19"/>
              </w:rPr>
              <w:t>Disponible</w:t>
            </w:r>
          </w:p>
        </w:tc>
      </w:tr>
      <w:tr>
        <w:tc>
          <w:tcPr>
            <w:tcW w:type="dxa" w:w="4986"/>
          </w:tcPr>
          <w:p>
            <w:r>
              <w:rPr>
                <w:sz w:val="19"/>
              </w:rPr>
              <w:t>Curvas B/C/D</w:t>
            </w:r>
          </w:p>
        </w:tc>
        <w:tc>
          <w:tcPr>
            <w:tcW w:type="dxa" w:w="4986"/>
          </w:tcPr>
          <w:p>
            <w:r>
              <w:rPr>
                <w:sz w:val="19"/>
              </w:rPr>
              <w:t>Disponible</w:t>
            </w:r>
          </w:p>
        </w:tc>
      </w:tr>
      <w:tr>
        <w:tc>
          <w:tcPr>
            <w:tcW w:type="dxa" w:w="4986"/>
          </w:tcPr>
          <w:p>
            <w:r>
              <w:rPr>
                <w:sz w:val="19"/>
              </w:rPr>
              <w:t>Protección por fusible / caja moldeada (Icu propio)</w:t>
            </w:r>
          </w:p>
        </w:tc>
        <w:tc>
          <w:tcPr>
            <w:tcW w:type="dxa" w:w="4986"/>
          </w:tcPr>
          <w:p>
            <w:r>
              <w:rPr>
                <w:sz w:val="19"/>
              </w:rPr>
              <w:t>Disponible</w:t>
            </w:r>
          </w:p>
        </w:tc>
      </w:tr>
      <w:tr>
        <w:tc>
          <w:tcPr>
            <w:tcW w:type="dxa" w:w="4986"/>
          </w:tcPr>
          <w:p>
            <w:r>
              <w:rPr>
                <w:sz w:val="19"/>
              </w:rPr>
              <w:t>Caída de tensión</w:t>
            </w:r>
          </w:p>
        </w:tc>
        <w:tc>
          <w:tcPr>
            <w:tcW w:type="dxa" w:w="4986"/>
          </w:tcPr>
          <w:p>
            <w:r>
              <w:rPr>
                <w:sz w:val="19"/>
              </w:rPr>
              <w:t>Disponible</w:t>
            </w:r>
          </w:p>
        </w:tc>
      </w:tr>
      <w:tr>
        <w:tc>
          <w:tcPr>
            <w:tcW w:type="dxa" w:w="4986"/>
          </w:tcPr>
          <w:p>
            <w:r>
              <w:rPr>
                <w:sz w:val="19"/>
              </w:rPr>
              <w:t>Canalización enterrada (resistividad y profundidad)</w:t>
            </w:r>
          </w:p>
        </w:tc>
        <w:tc>
          <w:tcPr>
            <w:tcW w:type="dxa" w:w="4986"/>
          </w:tcPr>
          <w:p>
            <w:r>
              <w:rPr>
                <w:sz w:val="19"/>
              </w:rPr>
              <w:t>Disponible</w:t>
            </w:r>
          </w:p>
        </w:tc>
      </w:tr>
      <w:tr>
        <w:tc>
          <w:tcPr>
            <w:tcW w:type="dxa" w:w="4986"/>
          </w:tcPr>
          <w:p>
            <w:r>
              <w:rPr>
                <w:sz w:val="19"/>
              </w:rPr>
              <w:t>Icc máxima / poder de corte</w:t>
            </w:r>
          </w:p>
        </w:tc>
        <w:tc>
          <w:tcPr>
            <w:tcW w:type="dxa" w:w="4986"/>
          </w:tcPr>
          <w:p>
            <w:r>
              <w:rPr>
                <w:sz w:val="19"/>
              </w:rPr>
              <w:t>Disponible</w:t>
            </w:r>
          </w:p>
        </w:tc>
      </w:tr>
      <w:tr>
        <w:tc>
          <w:tcPr>
            <w:tcW w:type="dxa" w:w="4986"/>
          </w:tcPr>
          <w:p>
            <w:r>
              <w:rPr>
                <w:sz w:val="19"/>
              </w:rPr>
              <w:t>Ik mínima al final de línea</w:t>
            </w:r>
          </w:p>
        </w:tc>
        <w:tc>
          <w:tcPr>
            <w:tcW w:type="dxa" w:w="4986"/>
          </w:tcPr>
          <w:p>
            <w:r>
              <w:rPr>
                <w:sz w:val="19"/>
              </w:rPr>
              <w:t>Disponible</w:t>
            </w:r>
          </w:p>
        </w:tc>
      </w:tr>
      <w:tr>
        <w:tc>
          <w:tcPr>
            <w:tcW w:type="dxa" w:w="4986"/>
          </w:tcPr>
          <w:p>
            <w:r>
              <w:rPr>
                <w:sz w:val="19"/>
              </w:rPr>
              <w:t>Tiempo térmico del conductor</w:t>
            </w:r>
          </w:p>
        </w:tc>
        <w:tc>
          <w:tcPr>
            <w:tcW w:type="dxa" w:w="4986"/>
          </w:tcPr>
          <w:p>
            <w:r>
              <w:rPr>
                <w:sz w:val="19"/>
              </w:rPr>
              <w:t>Disponible</w:t>
            </w:r>
          </w:p>
        </w:tc>
      </w:tr>
      <w:tr>
        <w:tc>
          <w:tcPr>
            <w:tcW w:type="dxa" w:w="4986"/>
          </w:tcPr>
          <w:p>
            <w:r>
              <w:rPr>
                <w:sz w:val="19"/>
              </w:rPr>
              <w:t>Selectividad térmica</w:t>
            </w:r>
          </w:p>
        </w:tc>
        <w:tc>
          <w:tcPr>
            <w:tcW w:type="dxa" w:w="4986"/>
          </w:tcPr>
          <w:p>
            <w:r>
              <w:rPr>
                <w:sz w:val="19"/>
              </w:rPr>
              <w:t>Disponible</w:t>
            </w:r>
          </w:p>
        </w:tc>
      </w:tr>
      <w:tr>
        <w:tc>
          <w:tcPr>
            <w:tcW w:type="dxa" w:w="4986"/>
          </w:tcPr>
          <w:p>
            <w:r>
              <w:rPr>
                <w:sz w:val="19"/>
              </w:rPr>
              <w:t>Diferenciales en cascada</w:t>
            </w:r>
          </w:p>
        </w:tc>
        <w:tc>
          <w:tcPr>
            <w:tcW w:type="dxa" w:w="4986"/>
          </w:tcPr>
          <w:p>
            <w:r>
              <w:rPr>
                <w:sz w:val="19"/>
              </w:rPr>
              <w:t>Disponible</w:t>
            </w:r>
          </w:p>
        </w:tc>
      </w:tr>
      <w:tr>
        <w:tc>
          <w:tcPr>
            <w:tcW w:type="dxa" w:w="4986"/>
          </w:tcPr>
          <w:p>
            <w:r>
              <w:rPr>
                <w:sz w:val="19"/>
              </w:rPr>
              <w:t>VE (modo de carga IEC 61851)</w:t>
            </w:r>
          </w:p>
        </w:tc>
        <w:tc>
          <w:tcPr>
            <w:tcW w:type="dxa" w:w="4986"/>
          </w:tcPr>
          <w:p>
            <w:r>
              <w:rPr>
                <w:sz w:val="19"/>
              </w:rPr>
              <w:t>Disponible</w:t>
            </w:r>
          </w:p>
        </w:tc>
      </w:tr>
      <w:tr>
        <w:tc>
          <w:tcPr>
            <w:tcW w:type="dxa" w:w="4986"/>
          </w:tcPr>
          <w:p>
            <w:r>
              <w:rPr>
                <w:sz w:val="19"/>
              </w:rPr>
              <w:t>Balance de fases</w:t>
            </w:r>
          </w:p>
        </w:tc>
        <w:tc>
          <w:tcPr>
            <w:tcW w:type="dxa" w:w="4986"/>
          </w:tcPr>
          <w:p>
            <w:r>
              <w:rPr>
                <w:sz w:val="19"/>
              </w:rPr>
              <w:t>Disponible</w:t>
            </w:r>
          </w:p>
        </w:tc>
      </w:tr>
      <w:tr>
        <w:tc>
          <w:tcPr>
            <w:tcW w:type="dxa" w:w="4986"/>
          </w:tcPr>
          <w:p>
            <w:r>
              <w:rPr>
                <w:sz w:val="19"/>
              </w:rPr>
              <w:t>Alimentador fase/neutro/PE</w:t>
            </w:r>
          </w:p>
        </w:tc>
        <w:tc>
          <w:tcPr>
            <w:tcW w:type="dxa" w:w="4986"/>
          </w:tcPr>
          <w:p>
            <w:r>
              <w:rPr>
                <w:sz w:val="19"/>
              </w:rPr>
              <w:t>Disponible</w:t>
            </w:r>
          </w:p>
        </w:tc>
      </w:tr>
      <w:tr>
        <w:tc>
          <w:tcPr>
            <w:tcW w:type="dxa" w:w="4986"/>
          </w:tcPr>
          <w:p>
            <w:r>
              <w:rPr>
                <w:sz w:val="19"/>
              </w:rPr>
              <w:t>Puesta a tierra TT</w:t>
            </w:r>
          </w:p>
        </w:tc>
        <w:tc>
          <w:tcPr>
            <w:tcW w:type="dxa" w:w="4986"/>
          </w:tcPr>
          <w:p>
            <w:r>
              <w:rPr>
                <w:sz w:val="19"/>
              </w:rPr>
              <w:t>Disponible</w:t>
            </w:r>
          </w:p>
        </w:tc>
      </w:tr>
      <w:tr>
        <w:tc>
          <w:tcPr>
            <w:tcW w:type="dxa" w:w="4986"/>
          </w:tcPr>
          <w:p>
            <w:r>
              <w:rPr>
                <w:sz w:val="19"/>
              </w:rPr>
              <w:t>Sistema IT</w:t>
            </w:r>
          </w:p>
        </w:tc>
        <w:tc>
          <w:tcPr>
            <w:tcW w:type="dxa" w:w="4986"/>
          </w:tcPr>
          <w:p>
            <w:r>
              <w:rPr>
                <w:sz w:val="19"/>
              </w:rPr>
              <w:t>Disponible</w:t>
            </w:r>
          </w:p>
        </w:tc>
      </w:tr>
      <w:tr>
        <w:tc>
          <w:tcPr>
            <w:tcW w:type="dxa" w:w="4986"/>
          </w:tcPr>
          <w:p>
            <w:r>
              <w:rPr>
                <w:sz w:val="19"/>
              </w:rPr>
              <w:t>Contactos indirectos</w:t>
            </w:r>
          </w:p>
        </w:tc>
        <w:tc>
          <w:tcPr>
            <w:tcW w:type="dxa" w:w="4986"/>
          </w:tcPr>
          <w:p>
            <w:r>
              <w:rPr>
                <w:sz w:val="19"/>
              </w:rPr>
              <w:t>Disponible</w:t>
            </w:r>
          </w:p>
        </w:tc>
      </w:tr>
      <w:tr>
        <w:tc>
          <w:tcPr>
            <w:tcW w:type="dxa" w:w="4986"/>
          </w:tcPr>
          <w:p>
            <w:r>
              <w:rPr>
                <w:sz w:val="19"/>
              </w:rPr>
              <w:t>SPD</w:t>
            </w:r>
          </w:p>
        </w:tc>
        <w:tc>
          <w:tcPr>
            <w:tcW w:type="dxa" w:w="4986"/>
          </w:tcPr>
          <w:p>
            <w:r>
              <w:rPr>
                <w:sz w:val="19"/>
              </w:rPr>
              <w:t>Disponible</w:t>
            </w:r>
          </w:p>
        </w:tc>
      </w:tr>
      <w:tr>
        <w:tc>
          <w:tcPr>
            <w:tcW w:type="dxa" w:w="4986"/>
          </w:tcPr>
          <w:p>
            <w:r>
              <w:rPr>
                <w:sz w:val="19"/>
              </w:rPr>
              <w:t>PE por circuito</w:t>
            </w:r>
          </w:p>
        </w:tc>
        <w:tc>
          <w:tcPr>
            <w:tcW w:type="dxa" w:w="4986"/>
          </w:tcPr>
          <w:p>
            <w:r>
              <w:rPr>
                <w:sz w:val="19"/>
              </w:rPr>
              <w:t>Disponible</w:t>
            </w:r>
          </w:p>
        </w:tc>
      </w:tr>
      <w:tr>
        <w:tc>
          <w:tcPr>
            <w:tcW w:type="dxa" w:w="4986"/>
          </w:tcPr>
          <w:p>
            <w:r>
              <w:rPr>
                <w:sz w:val="19"/>
              </w:rPr>
              <w:t>Equipotencialidad</w:t>
            </w:r>
          </w:p>
        </w:tc>
        <w:tc>
          <w:tcPr>
            <w:tcW w:type="dxa" w:w="4986"/>
          </w:tcPr>
          <w:p>
            <w:r>
              <w:rPr>
                <w:sz w:val="19"/>
              </w:rPr>
              <w:t>Disponible</w:t>
            </w:r>
          </w:p>
        </w:tc>
      </w:tr>
      <w:tr>
        <w:tc>
          <w:tcPr>
            <w:tcW w:type="dxa" w:w="4986"/>
          </w:tcPr>
          <w:p>
            <w:r>
              <w:rPr>
                <w:sz w:val="19"/>
              </w:rPr>
              <w:t>Continuidad</w:t>
            </w:r>
          </w:p>
        </w:tc>
        <w:tc>
          <w:tcPr>
            <w:tcW w:type="dxa" w:w="4986"/>
          </w:tcPr>
          <w:p>
            <w:r>
              <w:rPr>
                <w:sz w:val="19"/>
              </w:rPr>
              <w:t>Disponible</w:t>
            </w:r>
          </w:p>
        </w:tc>
      </w:tr>
      <w:tr>
        <w:tc>
          <w:tcPr>
            <w:tcW w:type="dxa" w:w="4986"/>
          </w:tcPr>
          <w:p>
            <w:r>
              <w:rPr>
                <w:sz w:val="19"/>
              </w:rPr>
              <w:t>Aislamiento</w:t>
            </w:r>
          </w:p>
        </w:tc>
        <w:tc>
          <w:tcPr>
            <w:tcW w:type="dxa" w:w="4986"/>
          </w:tcPr>
          <w:p>
            <w:r>
              <w:rPr>
                <w:sz w:val="19"/>
              </w:rPr>
              <w:t>Disponible</w:t>
            </w:r>
          </w:p>
        </w:tc>
      </w:tr>
      <w:tr>
        <w:tc>
          <w:tcPr>
            <w:tcW w:type="dxa" w:w="4986"/>
          </w:tcPr>
          <w:p>
            <w:r>
              <w:rPr>
                <w:sz w:val="19"/>
              </w:rPr>
              <w:t>Polaridad</w:t>
            </w:r>
          </w:p>
        </w:tc>
        <w:tc>
          <w:tcPr>
            <w:tcW w:type="dxa" w:w="4986"/>
          </w:tcPr>
          <w:p>
            <w:r>
              <w:rPr>
                <w:sz w:val="19"/>
              </w:rPr>
              <w:t>Disponible</w:t>
            </w:r>
          </w:p>
        </w:tc>
      </w:tr>
      <w:tr>
        <w:tc>
          <w:tcPr>
            <w:tcW w:type="dxa" w:w="4986"/>
          </w:tcPr>
          <w:p>
            <w:r>
              <w:rPr>
                <w:sz w:val="19"/>
              </w:rPr>
              <w:t>Secuencia de fases</w:t>
            </w:r>
          </w:p>
        </w:tc>
        <w:tc>
          <w:tcPr>
            <w:tcW w:type="dxa" w:w="4986"/>
          </w:tcPr>
          <w:p>
            <w:r>
              <w:rPr>
                <w:sz w:val="19"/>
              </w:rPr>
              <w:t>Disponible</w:t>
            </w:r>
          </w:p>
        </w:tc>
      </w:tr>
      <w:tr>
        <w:tc>
          <w:tcPr>
            <w:tcW w:type="dxa" w:w="4986"/>
          </w:tcPr>
          <w:p>
            <w:r>
              <w:rPr>
                <w:sz w:val="19"/>
              </w:rPr>
              <w:t>Ensayo RCD</w:t>
            </w:r>
          </w:p>
        </w:tc>
        <w:tc>
          <w:tcPr>
            <w:tcW w:type="dxa" w:w="4986"/>
          </w:tcPr>
          <w:p>
            <w:r>
              <w:rPr>
                <w:sz w:val="19"/>
              </w:rPr>
              <w:t>Disponible</w:t>
            </w:r>
          </w:p>
        </w:tc>
      </w:tr>
      <w:tr>
        <w:tc>
          <w:tcPr>
            <w:tcW w:type="dxa" w:w="4986"/>
          </w:tcPr>
          <w:p>
            <w:r>
              <w:rPr>
                <w:sz w:val="19"/>
              </w:rPr>
              <w:t>Protocolo de puesta en servicio</w:t>
            </w:r>
          </w:p>
        </w:tc>
        <w:tc>
          <w:tcPr>
            <w:tcW w:type="dxa" w:w="4986"/>
          </w:tcPr>
          <w:p>
            <w:r>
              <w:rPr>
                <w:sz w:val="19"/>
              </w:rPr>
              <w:t>Disponible</w:t>
            </w:r>
          </w:p>
        </w:tc>
      </w:tr>
      <w:tr>
        <w:tc>
          <w:tcPr>
            <w:tcW w:type="dxa" w:w="4986"/>
          </w:tcPr>
          <w:p>
            <w:r>
              <w:rPr>
                <w:sz w:val="19"/>
              </w:rPr>
              <w:t>Cierre profesional / estado documental</w:t>
            </w:r>
          </w:p>
        </w:tc>
        <w:tc>
          <w:tcPr>
            <w:tcW w:type="dxa" w:w="4986"/>
          </w:tcPr>
          <w:p>
            <w:r>
              <w:rPr>
                <w:sz w:val="19"/>
              </w:rPr>
              <w:t>Disponible</w:t>
            </w:r>
          </w:p>
        </w:tc>
      </w:tr>
      <w:tr>
        <w:tc>
          <w:tcPr>
            <w:tcW w:type="dxa" w:w="4986"/>
          </w:tcPr>
          <w:p>
            <w:r>
              <w:rPr>
                <w:sz w:val="19"/>
              </w:rPr>
              <w:t>Firma gráfica del responsable</w:t>
            </w:r>
          </w:p>
        </w:tc>
        <w:tc>
          <w:tcPr>
            <w:tcW w:type="dxa" w:w="4986"/>
          </w:tcPr>
          <w:p>
            <w:r>
              <w:rPr>
                <w:sz w:val="19"/>
              </w:rPr>
              <w:t>Disponible</w:t>
            </w:r>
          </w:p>
        </w:tc>
      </w:tr>
      <w:tr>
        <w:tc>
          <w:tcPr>
            <w:tcW w:type="dxa" w:w="4986"/>
          </w:tcPr>
          <w:p>
            <w:r>
              <w:rPr>
                <w:sz w:val="19"/>
              </w:rPr>
              <w:t>Anexos fotográficos</w:t>
            </w:r>
          </w:p>
        </w:tc>
        <w:tc>
          <w:tcPr>
            <w:tcW w:type="dxa" w:w="4986"/>
          </w:tcPr>
          <w:p>
            <w:r>
              <w:rPr>
                <w:sz w:val="19"/>
              </w:rPr>
              <w:t>Disponible</w:t>
            </w:r>
          </w:p>
        </w:tc>
      </w:tr>
      <w:tr>
        <w:tc>
          <w:tcPr>
            <w:tcW w:type="dxa" w:w="4986"/>
          </w:tcPr>
          <w:p>
            <w:r>
              <w:rPr>
                <w:sz w:val="19"/>
              </w:rPr>
              <w:t>Esquema unifilar automático</w:t>
            </w:r>
          </w:p>
        </w:tc>
        <w:tc>
          <w:tcPr>
            <w:tcW w:type="dxa" w:w="4986"/>
          </w:tcPr>
          <w:p>
            <w:r>
              <w:rPr>
                <w:sz w:val="19"/>
              </w:rPr>
              <w:t>Disponible</w:t>
            </w:r>
          </w:p>
        </w:tc>
      </w:tr>
      <w:tr>
        <w:tc>
          <w:tcPr>
            <w:tcW w:type="dxa" w:w="4986"/>
          </w:tcPr>
          <w:p>
            <w:r>
              <w:rPr>
                <w:sz w:val="19"/>
              </w:rPr>
              <w:t>Expediente técnico combinado</w:t>
            </w:r>
          </w:p>
        </w:tc>
        <w:tc>
          <w:tcPr>
            <w:tcW w:type="dxa" w:w="4986"/>
          </w:tcPr>
          <w:p>
            <w:r>
              <w:rPr>
                <w:sz w:val="19"/>
              </w:rPr>
              <w:t>Disponible</w:t>
            </w:r>
          </w:p>
        </w:tc>
      </w:tr>
      <w:tr>
        <w:tc>
          <w:tcPr>
            <w:tcW w:type="dxa" w:w="4986"/>
          </w:tcPr>
          <w:p>
            <w:r>
              <w:rPr>
                <w:sz w:val="19"/>
              </w:rPr>
              <w:t>Materiales</w:t>
            </w:r>
          </w:p>
        </w:tc>
        <w:tc>
          <w:tcPr>
            <w:tcW w:type="dxa" w:w="4986"/>
          </w:tcPr>
          <w:p>
            <w:r>
              <w:rPr>
                <w:sz w:val="19"/>
              </w:rPr>
              <w:t>Disponible</w:t>
            </w:r>
          </w:p>
        </w:tc>
      </w:tr>
      <w:tr>
        <w:tc>
          <w:tcPr>
            <w:tcW w:type="dxa" w:w="4986"/>
          </w:tcPr>
          <w:p>
            <w:r>
              <w:rPr>
                <w:sz w:val="19"/>
              </w:rPr>
              <w:t>Presupuesto</w:t>
            </w:r>
          </w:p>
        </w:tc>
        <w:tc>
          <w:tcPr>
            <w:tcW w:type="dxa" w:w="4986"/>
          </w:tcPr>
          <w:p>
            <w:r>
              <w:rPr>
                <w:sz w:val="19"/>
              </w:rPr>
              <w:t>Disponible</w:t>
            </w:r>
          </w:p>
        </w:tc>
      </w:tr>
      <w:tr>
        <w:tc>
          <w:tcPr>
            <w:tcW w:type="dxa" w:w="4986"/>
          </w:tcPr>
          <w:p>
            <w:r>
              <w:rPr>
                <w:sz w:val="19"/>
              </w:rPr>
              <w:t>PDF interno</w:t>
            </w:r>
          </w:p>
        </w:tc>
        <w:tc>
          <w:tcPr>
            <w:tcW w:type="dxa" w:w="4986"/>
          </w:tcPr>
          <w:p>
            <w:r>
              <w:rPr>
                <w:sz w:val="19"/>
              </w:rPr>
              <w:t>Disponible</w:t>
            </w:r>
          </w:p>
        </w:tc>
      </w:tr>
      <w:tr>
        <w:tc>
          <w:tcPr>
            <w:tcW w:type="dxa" w:w="4986"/>
          </w:tcPr>
          <w:p>
            <w:r>
              <w:rPr>
                <w:sz w:val="19"/>
              </w:rPr>
              <w:t>Compartir PDF</w:t>
            </w:r>
          </w:p>
        </w:tc>
        <w:tc>
          <w:tcPr>
            <w:tcW w:type="dxa" w:w="4986"/>
          </w:tcPr>
          <w:p>
            <w:r>
              <w:rPr>
                <w:sz w:val="19"/>
              </w:rPr>
              <w:t>Disponible</w:t>
            </w:r>
          </w:p>
        </w:tc>
      </w:tr>
      <w:tr>
        <w:tc>
          <w:tcPr>
            <w:tcW w:type="dxa" w:w="4986"/>
          </w:tcPr>
          <w:p>
            <w:r>
              <w:rPr>
                <w:sz w:val="19"/>
              </w:rPr>
              <w:t>Respaldo/importación</w:t>
            </w:r>
          </w:p>
        </w:tc>
        <w:tc>
          <w:tcPr>
            <w:tcW w:type="dxa" w:w="4986"/>
          </w:tcPr>
          <w:p>
            <w:r>
              <w:rPr>
                <w:sz w:val="19"/>
              </w:rPr>
              <w:t>Disponible</w:t>
            </w:r>
          </w:p>
        </w:tc>
      </w:tr>
      <w:tr>
        <w:tc>
          <w:tcPr>
            <w:tcW w:type="dxa" w:w="4986"/>
          </w:tcPr>
          <w:p>
            <w:r>
              <w:rPr>
                <w:sz w:val="19"/>
              </w:rPr>
              <w:t>Modo offline/PWA con precarga</w:t>
            </w:r>
          </w:p>
        </w:tc>
        <w:tc>
          <w:tcPr>
            <w:tcW w:type="dxa" w:w="4986"/>
          </w:tcPr>
          <w:p>
            <w:r>
              <w:rPr>
                <w:sz w:val="19"/>
              </w:rPr>
              <w:t>Disponible</w:t>
            </w:r>
          </w:p>
        </w:tc>
      </w:tr>
      <w:tr>
        <w:tc>
          <w:tcPr>
            <w:tcW w:type="dxa" w:w="4986"/>
          </w:tcPr>
          <w:p>
            <w:r>
              <w:rPr>
                <w:sz w:val="19"/>
              </w:rPr>
              <w:t>Migraciones de datos</w:t>
            </w:r>
          </w:p>
        </w:tc>
        <w:tc>
          <w:tcPr>
            <w:tcW w:type="dxa" w:w="4986"/>
          </w:tcPr>
          <w:p>
            <w:r>
              <w:rPr>
                <w:sz w:val="19"/>
              </w:rPr>
              <w:t>Disponible</w:t>
            </w:r>
          </w:p>
        </w:tc>
      </w:tr>
      <w:tr>
        <w:tc>
          <w:tcPr>
            <w:tcW w:type="dxa" w:w="4986"/>
          </w:tcPr>
          <w:p>
            <w:r>
              <w:rPr>
                <w:sz w:val="19"/>
              </w:rPr>
              <w:t>Estados Verificado/Pendiente/No cumple</w:t>
            </w:r>
          </w:p>
        </w:tc>
        <w:tc>
          <w:tcPr>
            <w:tcW w:type="dxa" w:w="4986"/>
          </w:tcPr>
          <w:p>
            <w:r>
              <w:rPr>
                <w:sz w:val="19"/>
              </w:rPr>
              <w:t>Disponible</w:t>
            </w:r>
          </w:p>
        </w:tc>
      </w:tr>
    </w:tbl>
    <w:p/>
    <w:p>
      <w:pPr>
        <w:pStyle w:val="Heading1"/>
      </w:pPr>
      <w:r>
        <w:t>26. Conclusión</w:t>
      </w:r>
    </w:p>
    <w:p>
      <w:pPr>
        <w:spacing w:after="160"/>
      </w:pPr>
      <w:r>
        <w:rPr>
          <w:b w:val="0"/>
          <w:sz w:val="21"/>
        </w:rPr>
        <w:t>La versión actual de ADONAI Herramientas Técnicas ya puede utilizarse como una plataforma interna integral para preparar una obra eléctrica, dimensionar y auditar sus circuitos, registrar verificaciones y ensayos, elaborar materiales/presupuesto y producir una memoria trazable hasta el cierre formal de la obra. La mejora más relevante del ciclo de desarrollo sigue siendo que el motor no intenta "completar" automáticamente los datos críticos: cuando falta evidencia, lo muestra como Pendiente y explica la causa.</w:t>
      </w:r>
    </w:p>
    <w:p>
      <w:pPr>
        <w:spacing w:after="160"/>
      </w:pPr>
      <w:r>
        <w:rPr>
          <w:b w:val="0"/>
          <w:sz w:val="21"/>
        </w:rPr>
        <w:t>El Paso 16 cierra ese ciclo con una revisión final de obra y un expediente técnico trazable, y una corrección posterior (22/09/2026) precisó que UTE admite fusibles además de interruptores automáticos en instalaciones trifásicas industriales, sin que eso cambie ningún cálculo del motor. Esto facilita revisar una obra, localizar pendientes, conservar evidencia de qué versión del motor la calculó y entregar un expediente ordenado al cliente o al organismo que lo requiera.</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618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9A5A2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9A5A2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9A5A2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