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01A48" w14:textId="5845ED03" w:rsidR="008A7FC5" w:rsidRDefault="008A7FC5" w:rsidP="008A7FC5">
      <w:pPr>
        <w:jc w:val="center"/>
        <w:rPr>
          <w:rFonts w:ascii="Arial" w:hAnsi="Arial" w:cs="Arial"/>
          <w:lang w:val="es-ES"/>
        </w:rPr>
      </w:pPr>
      <w:r>
        <w:rPr>
          <w:rFonts w:ascii="Arial" w:hAnsi="Arial" w:cs="Arial"/>
          <w:lang w:val="es-ES"/>
        </w:rPr>
        <w:t>Modelo De Negocio</w:t>
      </w:r>
      <w:r w:rsidR="00EE6AB7">
        <w:rPr>
          <w:rFonts w:ascii="Arial" w:hAnsi="Arial" w:cs="Arial"/>
          <w:lang w:val="es-ES"/>
        </w:rPr>
        <w:t xml:space="preserve"> </w:t>
      </w:r>
      <w:r w:rsidR="00EE6AB7" w:rsidRPr="00EE6AB7">
        <w:rPr>
          <w:rFonts w:ascii="Arial" w:hAnsi="Arial" w:cs="Arial"/>
          <w:lang w:val="es-ES"/>
        </w:rPr>
        <w:t>"INN-INVENTARIO"</w:t>
      </w:r>
    </w:p>
    <w:p w14:paraId="2DB1C03C" w14:textId="77777777" w:rsidR="00EE6AB7" w:rsidRDefault="00EE6AB7" w:rsidP="00EE6AB7">
      <w:pPr>
        <w:ind w:left="708" w:firstLine="0"/>
        <w:jc w:val="both"/>
        <w:rPr>
          <w:rFonts w:ascii="Arial" w:hAnsi="Arial" w:cs="Arial"/>
          <w:lang w:val="es-ES"/>
        </w:rPr>
      </w:pPr>
      <w:r w:rsidRPr="00EE6AB7">
        <w:rPr>
          <w:rFonts w:ascii="Arial" w:hAnsi="Arial" w:cs="Arial"/>
          <w:lang w:val="es-ES"/>
        </w:rPr>
        <w:t>Proyecto: Despliegue de Infraestructura y Sistema de Gestión de Activos - INN. Enfoque: Optimización Operativa y Soberanía Tecnológica.</w:t>
      </w:r>
    </w:p>
    <w:p w14:paraId="1E7F4653" w14:textId="7A07FE4E" w:rsidR="007A27ED" w:rsidRPr="007A27ED" w:rsidRDefault="007A27ED" w:rsidP="007A27ED">
      <w:pPr>
        <w:ind w:firstLine="708"/>
        <w:jc w:val="both"/>
        <w:rPr>
          <w:rFonts w:ascii="Arial" w:hAnsi="Arial" w:cs="Arial"/>
          <w:lang w:val="es-ES"/>
        </w:rPr>
      </w:pPr>
      <w:r w:rsidRPr="007A27ED">
        <w:rPr>
          <w:rFonts w:ascii="Arial" w:hAnsi="Arial" w:cs="Arial"/>
          <w:lang w:val="es-ES"/>
        </w:rPr>
        <w:t>El modelado de negocio describe los procesos operativos del Instituto Nacional de Nutrición (INN) impactados por la nueva infraestructura de red y el sistema de gestión. Su objetivo es alinear el desarrollo de software con la realidad técnica detectada en el departamento de TI, transformando el soporte técnico en una unidad de eficiencia operativa.</w:t>
      </w:r>
    </w:p>
    <w:p w14:paraId="13B991A2" w14:textId="77777777" w:rsidR="007A27ED" w:rsidRPr="007A27ED" w:rsidRDefault="007A27ED" w:rsidP="007A27ED">
      <w:pPr>
        <w:ind w:firstLine="0"/>
        <w:jc w:val="both"/>
        <w:rPr>
          <w:rFonts w:ascii="Arial" w:hAnsi="Arial" w:cs="Arial"/>
          <w:lang w:val="es-ES"/>
        </w:rPr>
      </w:pPr>
      <w:r w:rsidRPr="007A27ED">
        <w:rPr>
          <w:rFonts w:ascii="Arial" w:hAnsi="Arial" w:cs="Arial"/>
          <w:lang w:val="es-ES"/>
        </w:rPr>
        <w:t>1. Definición de Actores de Negocio</w:t>
      </w:r>
    </w:p>
    <w:p w14:paraId="51149F29" w14:textId="77777777" w:rsidR="007A27ED" w:rsidRPr="007A27ED" w:rsidRDefault="007A27ED" w:rsidP="007A27ED">
      <w:pPr>
        <w:pStyle w:val="Prrafodelista"/>
        <w:numPr>
          <w:ilvl w:val="0"/>
          <w:numId w:val="9"/>
        </w:numPr>
        <w:jc w:val="both"/>
        <w:rPr>
          <w:rFonts w:ascii="Arial" w:hAnsi="Arial" w:cs="Arial"/>
          <w:lang w:val="es-ES"/>
        </w:rPr>
      </w:pPr>
      <w:r w:rsidRPr="007A27ED">
        <w:rPr>
          <w:rFonts w:ascii="Arial" w:hAnsi="Arial" w:cs="Arial"/>
          <w:lang w:val="es-ES"/>
        </w:rPr>
        <w:t>Usuario Final (Empleado INN): Personal de cualquier departamento que posee activos asignados y reporta incidencias de hardware o conectividad.</w:t>
      </w:r>
    </w:p>
    <w:p w14:paraId="4645DBBF" w14:textId="77777777" w:rsidR="007A27ED" w:rsidRPr="007A27ED" w:rsidRDefault="007A27ED" w:rsidP="007A27ED">
      <w:pPr>
        <w:pStyle w:val="Prrafodelista"/>
        <w:numPr>
          <w:ilvl w:val="0"/>
          <w:numId w:val="9"/>
        </w:numPr>
        <w:jc w:val="both"/>
        <w:rPr>
          <w:rFonts w:ascii="Arial" w:hAnsi="Arial" w:cs="Arial"/>
          <w:lang w:val="es-ES"/>
        </w:rPr>
      </w:pPr>
      <w:r w:rsidRPr="007A27ED">
        <w:rPr>
          <w:rFonts w:ascii="Arial" w:hAnsi="Arial" w:cs="Arial"/>
          <w:lang w:val="es-ES"/>
        </w:rPr>
        <w:t>Analista de Redes y Soporte (Técnico): Personal responsable de tareas de campo (mantenimiento, cableado) y de actualizar el inventario físico y lógico en el sistema.</w:t>
      </w:r>
    </w:p>
    <w:p w14:paraId="4388030E" w14:textId="77777777" w:rsidR="007A27ED" w:rsidRPr="007A27ED" w:rsidRDefault="007A27ED" w:rsidP="007A27ED">
      <w:pPr>
        <w:pStyle w:val="Prrafodelista"/>
        <w:numPr>
          <w:ilvl w:val="0"/>
          <w:numId w:val="9"/>
        </w:numPr>
        <w:jc w:val="both"/>
        <w:rPr>
          <w:rFonts w:ascii="Arial" w:hAnsi="Arial" w:cs="Arial"/>
          <w:lang w:val="es-ES"/>
        </w:rPr>
      </w:pPr>
      <w:r w:rsidRPr="007A27ED">
        <w:rPr>
          <w:rFonts w:ascii="Arial" w:hAnsi="Arial" w:cs="Arial"/>
          <w:lang w:val="es-ES"/>
        </w:rPr>
        <w:t>Gerente de Tecnología (Auditor): Perfil con privilegios para supervisar tiempos de respuesta (SLA), gestionar compras y auditar la fiabilidad de los equipos (MTBF).</w:t>
      </w:r>
    </w:p>
    <w:p w14:paraId="5599DA13" w14:textId="77777777" w:rsidR="007A27ED" w:rsidRPr="007A27ED" w:rsidRDefault="007A27ED" w:rsidP="007A27ED">
      <w:pPr>
        <w:pStyle w:val="Prrafodelista"/>
        <w:numPr>
          <w:ilvl w:val="0"/>
          <w:numId w:val="9"/>
        </w:numPr>
        <w:jc w:val="both"/>
        <w:rPr>
          <w:rFonts w:ascii="Arial" w:hAnsi="Arial" w:cs="Arial"/>
          <w:lang w:val="es-ES"/>
        </w:rPr>
      </w:pPr>
      <w:r w:rsidRPr="007A27ED">
        <w:rPr>
          <w:rFonts w:ascii="Arial" w:hAnsi="Arial" w:cs="Arial"/>
          <w:lang w:val="es-ES"/>
        </w:rPr>
        <w:t>Administrador del Sistema: Responsable de la gestión de roles, seguridad de la base de datos y mantenimiento de la base de conocimientos técnicos.</w:t>
      </w:r>
    </w:p>
    <w:p w14:paraId="39F25190" w14:textId="77777777" w:rsidR="007A27ED" w:rsidRPr="007A27ED" w:rsidRDefault="007A27ED" w:rsidP="007A27ED">
      <w:pPr>
        <w:ind w:firstLine="0"/>
        <w:jc w:val="both"/>
        <w:rPr>
          <w:rFonts w:ascii="Arial" w:hAnsi="Arial" w:cs="Arial"/>
          <w:lang w:val="es-ES"/>
        </w:rPr>
      </w:pPr>
      <w:r w:rsidRPr="007A27ED">
        <w:rPr>
          <w:rFonts w:ascii="Arial" w:hAnsi="Arial" w:cs="Arial"/>
          <w:lang w:val="es-ES"/>
        </w:rPr>
        <w:t>2. Catálogo de Procesos Críticos</w:t>
      </w:r>
    </w:p>
    <w:p w14:paraId="64147A13" w14:textId="47B2C2F0" w:rsidR="007A27ED" w:rsidRPr="007A27ED" w:rsidRDefault="007A27ED" w:rsidP="007A27ED">
      <w:pPr>
        <w:pStyle w:val="Prrafodelista"/>
        <w:numPr>
          <w:ilvl w:val="0"/>
          <w:numId w:val="12"/>
        </w:numPr>
        <w:jc w:val="both"/>
        <w:rPr>
          <w:rFonts w:ascii="Arial" w:hAnsi="Arial" w:cs="Arial"/>
          <w:lang w:val="es-ES"/>
        </w:rPr>
      </w:pPr>
      <w:r w:rsidRPr="007A27ED">
        <w:rPr>
          <w:rFonts w:ascii="Arial" w:hAnsi="Arial" w:cs="Arial"/>
          <w:lang w:val="es-ES"/>
        </w:rPr>
        <w:t>Gestión de Incidencias (</w:t>
      </w:r>
      <w:proofErr w:type="spellStart"/>
      <w:r w:rsidRPr="007A27ED">
        <w:rPr>
          <w:rFonts w:ascii="Arial" w:hAnsi="Arial" w:cs="Arial"/>
          <w:lang w:val="es-ES"/>
        </w:rPr>
        <w:t>Help</w:t>
      </w:r>
      <w:proofErr w:type="spellEnd"/>
      <w:r w:rsidRPr="007A27ED">
        <w:rPr>
          <w:rFonts w:ascii="Arial" w:hAnsi="Arial" w:cs="Arial"/>
          <w:lang w:val="es-ES"/>
        </w:rPr>
        <w:t xml:space="preserve"> </w:t>
      </w:r>
      <w:proofErr w:type="spellStart"/>
      <w:r w:rsidRPr="007A27ED">
        <w:rPr>
          <w:rFonts w:ascii="Arial" w:hAnsi="Arial" w:cs="Arial"/>
          <w:lang w:val="es-ES"/>
        </w:rPr>
        <w:t>Desk</w:t>
      </w:r>
      <w:proofErr w:type="spellEnd"/>
      <w:r w:rsidRPr="007A27ED">
        <w:rPr>
          <w:rFonts w:ascii="Arial" w:hAnsi="Arial" w:cs="Arial"/>
          <w:lang w:val="es-ES"/>
        </w:rPr>
        <w:t xml:space="preserve">): Centraliza solicitudes de soporte. Su lógica se basa en la entrada de una falla clasificada por prioridad y la salida de un ticket resuelto con </w:t>
      </w:r>
      <w:proofErr w:type="spellStart"/>
      <w:r w:rsidRPr="007A27ED">
        <w:rPr>
          <w:rFonts w:ascii="Arial" w:hAnsi="Arial" w:cs="Arial"/>
          <w:lang w:val="es-ES"/>
        </w:rPr>
        <w:t>feedback</w:t>
      </w:r>
      <w:proofErr w:type="spellEnd"/>
      <w:r w:rsidRPr="007A27ED">
        <w:rPr>
          <w:rFonts w:ascii="Arial" w:hAnsi="Arial" w:cs="Arial"/>
          <w:lang w:val="es-ES"/>
        </w:rPr>
        <w:t xml:space="preserve"> del usuario, alimentando el historial de mantenimiento del equipo.</w:t>
      </w:r>
    </w:p>
    <w:p w14:paraId="009C1B99" w14:textId="77777777" w:rsidR="007A27ED" w:rsidRPr="007A27ED" w:rsidRDefault="007A27ED" w:rsidP="007A27ED">
      <w:pPr>
        <w:pStyle w:val="Prrafodelista"/>
        <w:numPr>
          <w:ilvl w:val="0"/>
          <w:numId w:val="11"/>
        </w:numPr>
        <w:jc w:val="both"/>
        <w:rPr>
          <w:rFonts w:ascii="Arial" w:hAnsi="Arial" w:cs="Arial"/>
          <w:lang w:val="es-ES"/>
        </w:rPr>
      </w:pPr>
      <w:r w:rsidRPr="007A27ED">
        <w:rPr>
          <w:rFonts w:ascii="Arial" w:hAnsi="Arial" w:cs="Arial"/>
          <w:lang w:val="es-ES"/>
        </w:rPr>
        <w:t xml:space="preserve">Control Patrimonial y Técnico (Inventario 360°): Garantiza la trazabilidad total. Vincula cada equipo (serial, marca, modelo) a su ubicación física (oficina/rack) y a </w:t>
      </w:r>
      <w:r w:rsidRPr="007A27ED">
        <w:rPr>
          <w:rFonts w:ascii="Arial" w:hAnsi="Arial" w:cs="Arial"/>
          <w:lang w:val="es-ES"/>
        </w:rPr>
        <w:lastRenderedPageBreak/>
        <w:t>su estado de salud técnica, permitiendo conocer en tiempo real la disponibilidad de activos.</w:t>
      </w:r>
    </w:p>
    <w:p w14:paraId="217AB4B6" w14:textId="77777777" w:rsidR="007A27ED" w:rsidRPr="007A27ED" w:rsidRDefault="007A27ED" w:rsidP="007A27ED">
      <w:pPr>
        <w:ind w:firstLine="0"/>
        <w:jc w:val="both"/>
        <w:rPr>
          <w:rFonts w:ascii="Arial" w:hAnsi="Arial" w:cs="Arial"/>
          <w:lang w:val="es-ES"/>
        </w:rPr>
      </w:pPr>
      <w:r w:rsidRPr="007A27ED">
        <w:rPr>
          <w:rFonts w:ascii="Arial" w:hAnsi="Arial" w:cs="Arial"/>
          <w:lang w:val="es-ES"/>
        </w:rPr>
        <w:t>3. Reglas de Negocio (Business Rules) para Auditoría</w:t>
      </w:r>
    </w:p>
    <w:p w14:paraId="13B7E372" w14:textId="5778A806" w:rsidR="007A27ED" w:rsidRPr="007A27ED" w:rsidRDefault="007A27ED" w:rsidP="007A27ED">
      <w:pPr>
        <w:ind w:firstLine="708"/>
        <w:jc w:val="both"/>
        <w:rPr>
          <w:rFonts w:ascii="Arial" w:hAnsi="Arial" w:cs="Arial"/>
          <w:lang w:val="es-ES"/>
        </w:rPr>
      </w:pPr>
      <w:r w:rsidRPr="007A27ED">
        <w:rPr>
          <w:rFonts w:ascii="Arial" w:hAnsi="Arial" w:cs="Arial"/>
          <w:lang w:val="es-ES"/>
        </w:rPr>
        <w:t>Estas reglas rigen el comportamiento del sistema y garantizan la integridad de la información:</w:t>
      </w:r>
    </w:p>
    <w:p w14:paraId="109D4AAF" w14:textId="77777777" w:rsidR="007A27ED" w:rsidRPr="007A27ED" w:rsidRDefault="007A27ED" w:rsidP="007A27ED">
      <w:pPr>
        <w:ind w:firstLine="708"/>
        <w:jc w:val="both"/>
        <w:rPr>
          <w:rFonts w:ascii="Arial" w:hAnsi="Arial" w:cs="Arial"/>
          <w:lang w:val="es-ES"/>
        </w:rPr>
      </w:pPr>
      <w:r w:rsidRPr="007A27ED">
        <w:rPr>
          <w:rFonts w:ascii="Arial" w:hAnsi="Arial" w:cs="Arial"/>
          <w:lang w:val="es-ES"/>
        </w:rPr>
        <w:t>BR-01: Todo activo de red debe estar vinculado obligatoriamente a un usuario, una IP y un puerto en el Rack para permitir diagnósticos remotos y trazabilidad física.</w:t>
      </w:r>
    </w:p>
    <w:p w14:paraId="202E9B26" w14:textId="77777777" w:rsidR="007A27ED" w:rsidRPr="007A27ED" w:rsidRDefault="007A27ED" w:rsidP="007A27ED">
      <w:pPr>
        <w:ind w:firstLine="708"/>
        <w:jc w:val="both"/>
        <w:rPr>
          <w:rFonts w:ascii="Arial" w:hAnsi="Arial" w:cs="Arial"/>
          <w:lang w:val="es-ES"/>
        </w:rPr>
      </w:pPr>
      <w:r w:rsidRPr="007A27ED">
        <w:rPr>
          <w:rFonts w:ascii="Arial" w:hAnsi="Arial" w:cs="Arial"/>
          <w:lang w:val="es-ES"/>
        </w:rPr>
        <w:t>BR-02: El sistema no permitirá el cierre de un ticket de soporte si el técnico no adjunta una descripción de la solución y actualiza el estado de mantenimiento preventivo del equipo afectado.</w:t>
      </w:r>
    </w:p>
    <w:p w14:paraId="7E6638D7" w14:textId="77777777" w:rsidR="007A27ED" w:rsidRPr="007A27ED" w:rsidRDefault="007A27ED" w:rsidP="007A27ED">
      <w:pPr>
        <w:ind w:firstLine="708"/>
        <w:jc w:val="both"/>
        <w:rPr>
          <w:rFonts w:ascii="Arial" w:hAnsi="Arial" w:cs="Arial"/>
          <w:lang w:val="es-ES"/>
        </w:rPr>
      </w:pPr>
      <w:r w:rsidRPr="007A27ED">
        <w:rPr>
          <w:rFonts w:ascii="Arial" w:hAnsi="Arial" w:cs="Arial"/>
          <w:lang w:val="es-ES"/>
        </w:rPr>
        <w:t>BR-03: Los indicadores de gestión, como el Tiempo Medio Entre Fallas (MTBF) y reportes de inventario crítico, son de acceso exclusivo para roles de Gerencia y Supervisión.</w:t>
      </w:r>
    </w:p>
    <w:p w14:paraId="2F83EC08" w14:textId="77777777" w:rsidR="007A27ED" w:rsidRPr="007A27ED" w:rsidRDefault="007A27ED" w:rsidP="007A27ED">
      <w:pPr>
        <w:ind w:firstLine="708"/>
        <w:jc w:val="both"/>
        <w:rPr>
          <w:rFonts w:ascii="Arial" w:hAnsi="Arial" w:cs="Arial"/>
          <w:lang w:val="es-ES"/>
        </w:rPr>
      </w:pPr>
      <w:r w:rsidRPr="007A27ED">
        <w:rPr>
          <w:rFonts w:ascii="Arial" w:hAnsi="Arial" w:cs="Arial"/>
          <w:lang w:val="es-ES"/>
        </w:rPr>
        <w:t>BR-04: El sistema debe alertar automáticamente sobre mantenimientos preventivos pendientes basándose en los estándares de gestión térmica (ASHRAE) y el tiempo transcurrido desde la última intervención.</w:t>
      </w:r>
    </w:p>
    <w:p w14:paraId="4C0A4280" w14:textId="77777777" w:rsidR="007A27ED" w:rsidRPr="007A27ED" w:rsidRDefault="007A27ED" w:rsidP="007A27ED">
      <w:pPr>
        <w:ind w:firstLine="0"/>
        <w:jc w:val="both"/>
        <w:rPr>
          <w:rFonts w:ascii="Arial" w:hAnsi="Arial" w:cs="Arial"/>
          <w:lang w:val="es-ES"/>
        </w:rPr>
      </w:pPr>
      <w:r w:rsidRPr="007A27ED">
        <w:rPr>
          <w:rFonts w:ascii="Arial" w:hAnsi="Arial" w:cs="Arial"/>
          <w:lang w:val="es-ES"/>
        </w:rPr>
        <w:t>4. Propuesta de Valor e Impacto Técnico</w:t>
      </w:r>
    </w:p>
    <w:p w14:paraId="40A5FBE5" w14:textId="77777777" w:rsidR="007A27ED" w:rsidRPr="007A27ED" w:rsidRDefault="007A27ED" w:rsidP="007A27ED">
      <w:pPr>
        <w:ind w:firstLine="708"/>
        <w:jc w:val="both"/>
        <w:rPr>
          <w:rFonts w:ascii="Arial" w:hAnsi="Arial" w:cs="Arial"/>
          <w:lang w:val="es-ES"/>
        </w:rPr>
      </w:pPr>
      <w:r w:rsidRPr="007A27ED">
        <w:rPr>
          <w:rFonts w:ascii="Arial" w:hAnsi="Arial" w:cs="Arial"/>
          <w:lang w:val="es-ES"/>
        </w:rPr>
        <w:t>La implementación de este modelo bajo estándares de Ingeniería de Software asegura:</w:t>
      </w:r>
    </w:p>
    <w:p w14:paraId="0E280B97" w14:textId="77777777" w:rsidR="007A27ED" w:rsidRPr="007A27ED" w:rsidRDefault="007A27ED" w:rsidP="007A27ED">
      <w:pPr>
        <w:pStyle w:val="Prrafodelista"/>
        <w:numPr>
          <w:ilvl w:val="0"/>
          <w:numId w:val="11"/>
        </w:numPr>
        <w:jc w:val="both"/>
        <w:rPr>
          <w:rFonts w:ascii="Arial" w:hAnsi="Arial" w:cs="Arial"/>
          <w:lang w:val="es-ES"/>
        </w:rPr>
      </w:pPr>
      <w:r w:rsidRPr="007A27ED">
        <w:rPr>
          <w:rFonts w:ascii="Arial" w:hAnsi="Arial" w:cs="Arial"/>
          <w:lang w:val="es-ES"/>
        </w:rPr>
        <w:t>Continuidad Operativa: Reducción de caídas de sistema mediante la prevención programada.</w:t>
      </w:r>
    </w:p>
    <w:p w14:paraId="1724DEFF" w14:textId="77777777" w:rsidR="007A27ED" w:rsidRPr="007A27ED" w:rsidRDefault="007A27ED" w:rsidP="007A27ED">
      <w:pPr>
        <w:pStyle w:val="Prrafodelista"/>
        <w:numPr>
          <w:ilvl w:val="0"/>
          <w:numId w:val="11"/>
        </w:numPr>
        <w:jc w:val="both"/>
        <w:rPr>
          <w:rFonts w:ascii="Arial" w:hAnsi="Arial" w:cs="Arial"/>
          <w:lang w:val="es-ES"/>
        </w:rPr>
      </w:pPr>
      <w:r w:rsidRPr="007A27ED">
        <w:rPr>
          <w:rFonts w:ascii="Arial" w:hAnsi="Arial" w:cs="Arial"/>
          <w:lang w:val="es-ES"/>
        </w:rPr>
        <w:t>Soberanía Tecnológica: Desarrollo basado en software libre (Next.js, PostgreSQL), eliminando costos de licenciamiento y asegurando el control total del código fuente por parte del Estado.</w:t>
      </w:r>
    </w:p>
    <w:p w14:paraId="61E69088" w14:textId="4102009E" w:rsidR="00CD4631" w:rsidRDefault="007A27ED" w:rsidP="00856FB0">
      <w:pPr>
        <w:pStyle w:val="Prrafodelista"/>
        <w:numPr>
          <w:ilvl w:val="0"/>
          <w:numId w:val="11"/>
        </w:numPr>
        <w:rPr>
          <w:rFonts w:ascii="Arial" w:hAnsi="Arial" w:cs="Arial"/>
          <w:lang w:val="es-ES"/>
        </w:rPr>
      </w:pPr>
      <w:r w:rsidRPr="007A27ED">
        <w:rPr>
          <w:rFonts w:ascii="Arial" w:hAnsi="Arial" w:cs="Arial"/>
          <w:lang w:val="es-ES"/>
        </w:rPr>
        <w:lastRenderedPageBreak/>
        <w:t>Transparencia: Un registro inmutable de cada acción técnica, facilitando auditorías internas y la toma de decisiones basada en datos reales sobre la obsolescencia del hardware.</w:t>
      </w:r>
    </w:p>
    <w:p w14:paraId="119EFED4" w14:textId="57A22044" w:rsidR="00856FB0" w:rsidRPr="00856FB0" w:rsidRDefault="00856FB0" w:rsidP="00856FB0">
      <w:pPr>
        <w:jc w:val="center"/>
        <w:rPr>
          <w:rFonts w:ascii="Arial" w:hAnsi="Arial" w:cs="Arial"/>
          <w:lang w:val="es-ES"/>
        </w:rPr>
      </w:pPr>
      <w:r w:rsidRPr="00856FB0">
        <w:rPr>
          <w:rFonts w:ascii="Arial" w:hAnsi="Arial" w:cs="Arial"/>
          <w:lang w:val="es-ES"/>
        </w:rPr>
        <w:t xml:space="preserve">Diagrama De Casos De Uso (Sistema </w:t>
      </w:r>
      <w:proofErr w:type="spellStart"/>
      <w:r w:rsidRPr="00856FB0">
        <w:rPr>
          <w:rFonts w:ascii="Arial" w:hAnsi="Arial" w:cs="Arial"/>
          <w:lang w:val="es-ES"/>
        </w:rPr>
        <w:t>Inn</w:t>
      </w:r>
      <w:proofErr w:type="spellEnd"/>
      <w:r w:rsidRPr="00856FB0">
        <w:rPr>
          <w:rFonts w:ascii="Arial" w:hAnsi="Arial" w:cs="Arial"/>
          <w:lang w:val="es-ES"/>
        </w:rPr>
        <w:t>-Inventario</w:t>
      </w:r>
      <w:r w:rsidRPr="00856FB0">
        <w:rPr>
          <w:rFonts w:ascii="Arial" w:hAnsi="Arial" w:cs="Arial"/>
          <w:lang w:val="es-ES"/>
        </w:rPr>
        <w:t>)</w:t>
      </w:r>
    </w:p>
    <w:p w14:paraId="04DE9062" w14:textId="01BCC1C6" w:rsidR="007A27ED" w:rsidRDefault="00856FB0" w:rsidP="00856FB0">
      <w:pPr>
        <w:jc w:val="both"/>
        <w:rPr>
          <w:rFonts w:ascii="Arial" w:hAnsi="Arial" w:cs="Arial"/>
          <w:lang w:val="es-ES"/>
        </w:rPr>
      </w:pPr>
      <w:r w:rsidRPr="00856FB0">
        <w:rPr>
          <w:rFonts w:ascii="Arial" w:hAnsi="Arial" w:cs="Arial"/>
          <w:lang w:val="es-ES"/>
        </w:rPr>
        <w:t>Este diagrama representa la interacción entre los actores del Instituto Nacional de Nutrición y las funcionalidades clave del software, diseñado bajo estándares de Ingeniería de Software.</w:t>
      </w:r>
    </w:p>
    <w:p w14:paraId="41628014" w14:textId="5AF252C5" w:rsidR="00856FB0" w:rsidRDefault="00856FB0" w:rsidP="00856FB0">
      <w:pPr>
        <w:jc w:val="center"/>
        <w:rPr>
          <w:rFonts w:ascii="Arial" w:hAnsi="Arial" w:cs="Arial"/>
          <w:lang w:val="es-ES"/>
        </w:rPr>
      </w:pPr>
      <w:r w:rsidRPr="00856FB0">
        <w:rPr>
          <w:rFonts w:ascii="Arial" w:hAnsi="Arial" w:cs="Arial"/>
          <w:lang w:val="es-ES"/>
        </w:rPr>
        <w:t>Representación Visual (Modelo De Interacción)</w:t>
      </w:r>
    </w:p>
    <w:p w14:paraId="4CE6C19B" w14:textId="6F20E0BE" w:rsid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SISTEMA DE GESTIÓN INTEGRAL (INN-INVENTARIO)</w:t>
      </w:r>
    </w:p>
    <w:p w14:paraId="108DDC6F"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center"/>
        <w:rPr>
          <w:rFonts w:ascii="Courier New" w:eastAsia="Times New Roman" w:hAnsi="Courier New" w:cs="Courier New"/>
          <w:sz w:val="20"/>
          <w:szCs w:val="20"/>
          <w:lang w:eastAsia="es-VE"/>
        </w:rPr>
      </w:pPr>
    </w:p>
    <w:p w14:paraId="6AADEE82" w14:textId="2D4E4EC4"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_______________________________________________</w:t>
      </w:r>
    </w:p>
    <w:p w14:paraId="2DA3ED29" w14:textId="303070C6"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w:t>
      </w:r>
    </w:p>
    <w:p w14:paraId="04CE0202" w14:textId="4D631EEA"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CUN-01: Registro de Solicitud de Red )    |</w:t>
      </w:r>
    </w:p>
    <w:p w14:paraId="6E2FBE79" w14:textId="6EA5DFAE"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(o) |                     ^                         |</w:t>
      </w:r>
    </w:p>
    <w:p w14:paraId="38AB0731" w14:textId="6C830CE5"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w:t>
      </w:r>
    </w:p>
    <w:p w14:paraId="143FB78C" w14:textId="7A92A29A"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                         |</w:t>
      </w:r>
    </w:p>
    <w:p w14:paraId="6B713A0B"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USUARIO|         |                                   |</w:t>
      </w:r>
    </w:p>
    <w:p w14:paraId="71CC9D12" w14:textId="72CE7CF1"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FINAL |         |   ( CUN-02: Gestión de </w:t>
      </w:r>
      <w:r w:rsidR="0060396E" w:rsidRPr="00052ED1">
        <w:rPr>
          <w:rFonts w:ascii="Courier New" w:eastAsia="Times New Roman" w:hAnsi="Courier New" w:cs="Courier New"/>
          <w:sz w:val="20"/>
          <w:szCs w:val="20"/>
          <w:lang w:eastAsia="es-VE"/>
        </w:rPr>
        <w:t>Inventario) |</w:t>
      </w:r>
      <w:r w:rsidRPr="00052ED1">
        <w:rPr>
          <w:rFonts w:ascii="Courier New" w:eastAsia="Times New Roman" w:hAnsi="Courier New" w:cs="Courier New"/>
          <w:sz w:val="20"/>
          <w:szCs w:val="20"/>
          <w:lang w:eastAsia="es-VE"/>
        </w:rPr>
        <w:t xml:space="preserve"> (o)</w:t>
      </w:r>
    </w:p>
    <w:p w14:paraId="51B2BD17" w14:textId="2CC491DE"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 /|\</w:t>
      </w:r>
    </w:p>
    <w:p w14:paraId="510CF771" w14:textId="0C1CB324"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 / \</w:t>
      </w:r>
    </w:p>
    <w:p w14:paraId="797D8CF4" w14:textId="4411161D"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 TÉCNICO</w:t>
      </w:r>
    </w:p>
    <w:p w14:paraId="609563DA" w14:textId="5E8A2C8D"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 SOPORTE</w:t>
      </w:r>
    </w:p>
    <w:p w14:paraId="5E247BBC" w14:textId="75DC0B24"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w:t>
      </w:r>
    </w:p>
    <w:p w14:paraId="38ABB776" w14:textId="15A44FD4"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CUN-03: Seguimiento/Auditoría)|</w:t>
      </w:r>
    </w:p>
    <w:p w14:paraId="2EA9ED61" w14:textId="5B973348"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w:t>
      </w:r>
    </w:p>
    <w:p w14:paraId="48046EF7" w14:textId="529744FF"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 (o)</w:t>
      </w:r>
    </w:p>
    <w:p w14:paraId="6D21D391" w14:textId="103EBD70"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 /|\</w:t>
      </w:r>
    </w:p>
    <w:p w14:paraId="45BE59B6" w14:textId="51F61A26"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 / \</w:t>
      </w:r>
    </w:p>
    <w:p w14:paraId="328474A8" w14:textId="695600F0"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         |                         | GERENTE</w:t>
      </w:r>
    </w:p>
    <w:p w14:paraId="1E7C2D32" w14:textId="5C0F7011"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 CUN-04: Consulta de Info. </w:t>
      </w:r>
      <w:r w:rsidR="0060396E" w:rsidRPr="00052ED1">
        <w:rPr>
          <w:rFonts w:ascii="Courier New" w:eastAsia="Times New Roman" w:hAnsi="Courier New" w:cs="Courier New"/>
          <w:sz w:val="20"/>
          <w:szCs w:val="20"/>
          <w:lang w:eastAsia="es-VE"/>
        </w:rPr>
        <w:t xml:space="preserve">Técnica)  </w:t>
      </w:r>
      <w:r w:rsidRPr="00052ED1">
        <w:rPr>
          <w:rFonts w:ascii="Courier New" w:eastAsia="Times New Roman" w:hAnsi="Courier New" w:cs="Courier New"/>
          <w:sz w:val="20"/>
          <w:szCs w:val="20"/>
          <w:lang w:eastAsia="es-VE"/>
        </w:rPr>
        <w:t>|  T.I.</w:t>
      </w:r>
    </w:p>
    <w:p w14:paraId="1CDE9AAD" w14:textId="71D0B79C"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|_______________________________________________|</w:t>
      </w:r>
    </w:p>
    <w:p w14:paraId="22E0AB94"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p>
    <w:tbl>
      <w:tblPr>
        <w:tblW w:w="8581" w:type="dxa"/>
        <w:jc w:val="center"/>
        <w:tblCellMar>
          <w:left w:w="70" w:type="dxa"/>
          <w:right w:w="70" w:type="dxa"/>
        </w:tblCellMar>
        <w:tblLook w:val="04A0" w:firstRow="1" w:lastRow="0" w:firstColumn="1" w:lastColumn="0" w:noHBand="0" w:noVBand="1"/>
      </w:tblPr>
      <w:tblGrid>
        <w:gridCol w:w="1134"/>
        <w:gridCol w:w="2126"/>
        <w:gridCol w:w="5321"/>
      </w:tblGrid>
      <w:tr w:rsidR="00624429" w:rsidRPr="00624429" w14:paraId="645CC93B" w14:textId="77777777" w:rsidTr="00052ED1">
        <w:trPr>
          <w:trHeight w:val="155"/>
          <w:jc w:val="center"/>
        </w:trPr>
        <w:tc>
          <w:tcPr>
            <w:tcW w:w="8581" w:type="dxa"/>
            <w:gridSpan w:val="3"/>
            <w:tcBorders>
              <w:top w:val="nil"/>
              <w:left w:val="nil"/>
              <w:bottom w:val="nil"/>
              <w:right w:val="nil"/>
            </w:tcBorders>
            <w:shd w:val="clear" w:color="auto" w:fill="auto"/>
            <w:noWrap/>
            <w:vAlign w:val="center"/>
            <w:hideMark/>
          </w:tcPr>
          <w:p w14:paraId="30952297" w14:textId="77777777" w:rsidR="00624429" w:rsidRPr="00624429" w:rsidRDefault="00624429" w:rsidP="00A83BCD">
            <w:pPr>
              <w:spacing w:after="0" w:line="240" w:lineRule="auto"/>
              <w:ind w:firstLine="0"/>
              <w:rPr>
                <w:rFonts w:ascii="Arial" w:eastAsia="Times New Roman" w:hAnsi="Arial" w:cs="Arial"/>
                <w:color w:val="000000"/>
                <w:lang w:eastAsia="es-VE"/>
              </w:rPr>
            </w:pPr>
            <w:r w:rsidRPr="00624429">
              <w:rPr>
                <w:rFonts w:ascii="Arial" w:eastAsia="Times New Roman" w:hAnsi="Arial" w:cs="Arial"/>
                <w:color w:val="000000"/>
                <w:lang w:eastAsia="es-VE"/>
              </w:rPr>
              <w:t xml:space="preserve">Diccionario De Casos De Uso </w:t>
            </w:r>
          </w:p>
        </w:tc>
      </w:tr>
      <w:tr w:rsidR="00052ED1" w:rsidRPr="00624429" w14:paraId="12D0DAA4" w14:textId="77777777" w:rsidTr="00052ED1">
        <w:trPr>
          <w:trHeight w:val="124"/>
          <w:jc w:val="center"/>
        </w:trPr>
        <w:tc>
          <w:tcPr>
            <w:tcW w:w="1134" w:type="dxa"/>
            <w:tcBorders>
              <w:top w:val="nil"/>
              <w:left w:val="nil"/>
              <w:bottom w:val="nil"/>
              <w:right w:val="nil"/>
            </w:tcBorders>
            <w:shd w:val="clear" w:color="000000" w:fill="FFFFFF"/>
            <w:noWrap/>
            <w:vAlign w:val="bottom"/>
            <w:hideMark/>
          </w:tcPr>
          <w:p w14:paraId="56A0B61F" w14:textId="77777777" w:rsidR="00624429" w:rsidRPr="00624429" w:rsidRDefault="00624429" w:rsidP="00A83BCD">
            <w:pPr>
              <w:spacing w:after="0" w:line="240" w:lineRule="auto"/>
              <w:ind w:firstLine="0"/>
              <w:rPr>
                <w:rFonts w:ascii="Arial" w:eastAsia="Times New Roman" w:hAnsi="Arial" w:cs="Arial"/>
                <w:color w:val="000000"/>
                <w:lang w:eastAsia="es-VE"/>
              </w:rPr>
            </w:pPr>
            <w:r w:rsidRPr="00624429">
              <w:rPr>
                <w:rFonts w:ascii="Arial" w:eastAsia="Times New Roman" w:hAnsi="Arial" w:cs="Arial"/>
                <w:color w:val="000000"/>
                <w:lang w:eastAsia="es-VE"/>
              </w:rPr>
              <w:t> </w:t>
            </w:r>
          </w:p>
        </w:tc>
        <w:tc>
          <w:tcPr>
            <w:tcW w:w="2126" w:type="dxa"/>
            <w:tcBorders>
              <w:top w:val="nil"/>
              <w:left w:val="nil"/>
              <w:bottom w:val="nil"/>
              <w:right w:val="nil"/>
            </w:tcBorders>
            <w:shd w:val="clear" w:color="000000" w:fill="FFFFFF"/>
            <w:noWrap/>
            <w:vAlign w:val="bottom"/>
            <w:hideMark/>
          </w:tcPr>
          <w:p w14:paraId="6E77AD5C" w14:textId="77777777" w:rsidR="00624429" w:rsidRPr="00624429" w:rsidRDefault="00624429" w:rsidP="00A83BCD">
            <w:pPr>
              <w:spacing w:after="0" w:line="240" w:lineRule="auto"/>
              <w:ind w:firstLine="0"/>
              <w:jc w:val="center"/>
              <w:rPr>
                <w:rFonts w:ascii="Arial" w:eastAsia="Times New Roman" w:hAnsi="Arial" w:cs="Arial"/>
                <w:color w:val="000000"/>
                <w:lang w:eastAsia="es-VE"/>
              </w:rPr>
            </w:pPr>
            <w:r w:rsidRPr="00624429">
              <w:rPr>
                <w:rFonts w:ascii="Arial" w:eastAsia="Times New Roman" w:hAnsi="Arial" w:cs="Arial"/>
                <w:color w:val="000000"/>
                <w:lang w:eastAsia="es-VE"/>
              </w:rPr>
              <w:t> </w:t>
            </w:r>
          </w:p>
        </w:tc>
        <w:tc>
          <w:tcPr>
            <w:tcW w:w="5321" w:type="dxa"/>
            <w:tcBorders>
              <w:top w:val="nil"/>
              <w:left w:val="nil"/>
              <w:bottom w:val="nil"/>
              <w:right w:val="nil"/>
            </w:tcBorders>
            <w:shd w:val="clear" w:color="000000" w:fill="FFFFFF"/>
            <w:noWrap/>
            <w:vAlign w:val="bottom"/>
            <w:hideMark/>
          </w:tcPr>
          <w:p w14:paraId="0042840F" w14:textId="77777777" w:rsidR="00624429" w:rsidRPr="00624429" w:rsidRDefault="00624429" w:rsidP="00A83BCD">
            <w:pPr>
              <w:spacing w:after="0" w:line="240" w:lineRule="auto"/>
              <w:ind w:firstLine="0"/>
              <w:rPr>
                <w:rFonts w:ascii="Arial" w:eastAsia="Times New Roman" w:hAnsi="Arial" w:cs="Arial"/>
                <w:color w:val="000000"/>
                <w:lang w:eastAsia="es-VE"/>
              </w:rPr>
            </w:pPr>
            <w:r w:rsidRPr="00624429">
              <w:rPr>
                <w:rFonts w:ascii="Arial" w:eastAsia="Times New Roman" w:hAnsi="Arial" w:cs="Arial"/>
                <w:color w:val="000000"/>
                <w:lang w:eastAsia="es-VE"/>
              </w:rPr>
              <w:t> </w:t>
            </w:r>
          </w:p>
        </w:tc>
      </w:tr>
      <w:tr w:rsidR="00052ED1" w:rsidRPr="00624429" w14:paraId="701EC12C" w14:textId="77777777" w:rsidTr="00052ED1">
        <w:trPr>
          <w:trHeight w:val="124"/>
          <w:jc w:val="center"/>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6078FA" w14:textId="77777777" w:rsidR="00624429" w:rsidRPr="00624429" w:rsidRDefault="00624429" w:rsidP="00A83BCD">
            <w:pPr>
              <w:spacing w:after="0" w:line="240" w:lineRule="auto"/>
              <w:ind w:firstLine="0"/>
              <w:rPr>
                <w:rFonts w:ascii="Arial" w:eastAsia="Times New Roman" w:hAnsi="Arial" w:cs="Arial"/>
                <w:b/>
                <w:bCs/>
                <w:color w:val="000000"/>
                <w:lang w:eastAsia="es-VE"/>
              </w:rPr>
            </w:pPr>
            <w:r w:rsidRPr="00624429">
              <w:rPr>
                <w:rFonts w:ascii="Arial" w:eastAsia="Times New Roman" w:hAnsi="Arial" w:cs="Arial"/>
                <w:b/>
                <w:bCs/>
                <w:color w:val="000000"/>
                <w:lang w:eastAsia="es-VE"/>
              </w:rPr>
              <w:t>Código</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1D0E0E42" w14:textId="77777777" w:rsidR="00624429" w:rsidRPr="00624429" w:rsidRDefault="00624429" w:rsidP="00A83BCD">
            <w:pPr>
              <w:spacing w:after="0" w:line="240" w:lineRule="auto"/>
              <w:ind w:firstLine="0"/>
              <w:jc w:val="center"/>
              <w:rPr>
                <w:rFonts w:ascii="Arial" w:eastAsia="Times New Roman" w:hAnsi="Arial" w:cs="Arial"/>
                <w:b/>
                <w:bCs/>
                <w:color w:val="000000"/>
                <w:lang w:eastAsia="es-VE"/>
              </w:rPr>
            </w:pPr>
            <w:r w:rsidRPr="00624429">
              <w:rPr>
                <w:rFonts w:ascii="Arial" w:eastAsia="Times New Roman" w:hAnsi="Arial" w:cs="Arial"/>
                <w:b/>
                <w:bCs/>
                <w:color w:val="000000"/>
                <w:lang w:eastAsia="es-VE"/>
              </w:rPr>
              <w:t>Caso de Uso</w:t>
            </w:r>
          </w:p>
        </w:tc>
        <w:tc>
          <w:tcPr>
            <w:tcW w:w="5321" w:type="dxa"/>
            <w:tcBorders>
              <w:top w:val="single" w:sz="4" w:space="0" w:color="auto"/>
              <w:left w:val="nil"/>
              <w:bottom w:val="single" w:sz="4" w:space="0" w:color="auto"/>
              <w:right w:val="single" w:sz="4" w:space="0" w:color="auto"/>
            </w:tcBorders>
            <w:shd w:val="clear" w:color="000000" w:fill="FFFFFF"/>
            <w:vAlign w:val="center"/>
            <w:hideMark/>
          </w:tcPr>
          <w:p w14:paraId="3F45B432" w14:textId="77777777" w:rsidR="00624429" w:rsidRPr="00624429" w:rsidRDefault="00624429" w:rsidP="00A83BCD">
            <w:pPr>
              <w:spacing w:after="0" w:line="240" w:lineRule="auto"/>
              <w:ind w:firstLine="0"/>
              <w:rPr>
                <w:rFonts w:ascii="Arial" w:eastAsia="Times New Roman" w:hAnsi="Arial" w:cs="Arial"/>
                <w:b/>
                <w:bCs/>
                <w:color w:val="000000"/>
                <w:lang w:eastAsia="es-VE"/>
              </w:rPr>
            </w:pPr>
            <w:r w:rsidRPr="00624429">
              <w:rPr>
                <w:rFonts w:ascii="Arial" w:eastAsia="Times New Roman" w:hAnsi="Arial" w:cs="Arial"/>
                <w:b/>
                <w:bCs/>
                <w:color w:val="000000"/>
                <w:lang w:eastAsia="es-VE"/>
              </w:rPr>
              <w:t>Descripción Técnica</w:t>
            </w:r>
          </w:p>
        </w:tc>
      </w:tr>
      <w:tr w:rsidR="00052ED1" w:rsidRPr="00624429" w14:paraId="5750A8DD" w14:textId="77777777" w:rsidTr="00052ED1">
        <w:trPr>
          <w:trHeight w:val="500"/>
          <w:jc w:val="center"/>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66E59B1C" w14:textId="77777777" w:rsidR="00624429" w:rsidRPr="00624429" w:rsidRDefault="00624429" w:rsidP="00A83BCD">
            <w:pPr>
              <w:spacing w:after="0" w:line="240" w:lineRule="auto"/>
              <w:ind w:firstLine="0"/>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CUN-01</w:t>
            </w:r>
          </w:p>
        </w:tc>
        <w:tc>
          <w:tcPr>
            <w:tcW w:w="2126" w:type="dxa"/>
            <w:tcBorders>
              <w:top w:val="nil"/>
              <w:left w:val="nil"/>
              <w:bottom w:val="single" w:sz="4" w:space="0" w:color="auto"/>
              <w:right w:val="single" w:sz="4" w:space="0" w:color="auto"/>
            </w:tcBorders>
            <w:shd w:val="clear" w:color="000000" w:fill="FFFFFF"/>
            <w:vAlign w:val="center"/>
            <w:hideMark/>
          </w:tcPr>
          <w:p w14:paraId="117C7131" w14:textId="77777777" w:rsidR="00624429" w:rsidRPr="00624429" w:rsidRDefault="00624429" w:rsidP="00A83BCD">
            <w:pPr>
              <w:spacing w:after="0" w:line="240" w:lineRule="auto"/>
              <w:ind w:firstLine="0"/>
              <w:jc w:val="center"/>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Registro de Solicitud</w:t>
            </w:r>
          </w:p>
        </w:tc>
        <w:tc>
          <w:tcPr>
            <w:tcW w:w="5321" w:type="dxa"/>
            <w:tcBorders>
              <w:top w:val="nil"/>
              <w:left w:val="nil"/>
              <w:bottom w:val="single" w:sz="4" w:space="0" w:color="auto"/>
              <w:right w:val="single" w:sz="4" w:space="0" w:color="auto"/>
            </w:tcBorders>
            <w:shd w:val="clear" w:color="000000" w:fill="FFFFFF"/>
            <w:vAlign w:val="center"/>
            <w:hideMark/>
          </w:tcPr>
          <w:p w14:paraId="6E0F2D7B" w14:textId="77777777" w:rsidR="00624429" w:rsidRPr="00624429" w:rsidRDefault="00624429" w:rsidP="00A83BCD">
            <w:pPr>
              <w:spacing w:after="0" w:line="240" w:lineRule="auto"/>
              <w:ind w:firstLine="0"/>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El Usuario Final reporta fallas (conectividad, hardware) asignando prioridad.</w:t>
            </w:r>
          </w:p>
        </w:tc>
      </w:tr>
      <w:tr w:rsidR="00052ED1" w:rsidRPr="00624429" w14:paraId="6AC3D975" w14:textId="77777777" w:rsidTr="00052ED1">
        <w:trPr>
          <w:trHeight w:val="500"/>
          <w:jc w:val="center"/>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4C6B16C1" w14:textId="77777777" w:rsidR="00624429" w:rsidRPr="00624429" w:rsidRDefault="00624429" w:rsidP="00A83BCD">
            <w:pPr>
              <w:spacing w:after="0" w:line="240" w:lineRule="auto"/>
              <w:ind w:firstLine="0"/>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CUN-02</w:t>
            </w:r>
          </w:p>
        </w:tc>
        <w:tc>
          <w:tcPr>
            <w:tcW w:w="2126" w:type="dxa"/>
            <w:tcBorders>
              <w:top w:val="nil"/>
              <w:left w:val="nil"/>
              <w:bottom w:val="single" w:sz="4" w:space="0" w:color="auto"/>
              <w:right w:val="single" w:sz="4" w:space="0" w:color="auto"/>
            </w:tcBorders>
            <w:shd w:val="clear" w:color="000000" w:fill="FFFFFF"/>
            <w:vAlign w:val="center"/>
            <w:hideMark/>
          </w:tcPr>
          <w:p w14:paraId="4354B63E" w14:textId="77777777" w:rsidR="00624429" w:rsidRPr="00624429" w:rsidRDefault="00624429" w:rsidP="00A83BCD">
            <w:pPr>
              <w:spacing w:after="0" w:line="240" w:lineRule="auto"/>
              <w:ind w:firstLine="0"/>
              <w:jc w:val="center"/>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Gestión de Inventario</w:t>
            </w:r>
          </w:p>
        </w:tc>
        <w:tc>
          <w:tcPr>
            <w:tcW w:w="5321" w:type="dxa"/>
            <w:tcBorders>
              <w:top w:val="nil"/>
              <w:left w:val="nil"/>
              <w:bottom w:val="single" w:sz="4" w:space="0" w:color="auto"/>
              <w:right w:val="single" w:sz="4" w:space="0" w:color="auto"/>
            </w:tcBorders>
            <w:shd w:val="clear" w:color="000000" w:fill="FFFFFF"/>
            <w:vAlign w:val="center"/>
            <w:hideMark/>
          </w:tcPr>
          <w:p w14:paraId="23E030FB" w14:textId="77777777" w:rsidR="00624429" w:rsidRPr="00624429" w:rsidRDefault="00624429" w:rsidP="00A83BCD">
            <w:pPr>
              <w:spacing w:after="0" w:line="240" w:lineRule="auto"/>
              <w:ind w:firstLine="0"/>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El Técnico vincula hardware a usuarios y puertos específicos del Rack.</w:t>
            </w:r>
          </w:p>
        </w:tc>
      </w:tr>
      <w:tr w:rsidR="00052ED1" w:rsidRPr="00624429" w14:paraId="603F0ECE" w14:textId="77777777" w:rsidTr="00052ED1">
        <w:trPr>
          <w:trHeight w:val="500"/>
          <w:jc w:val="center"/>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767A5A42" w14:textId="77777777" w:rsidR="00624429" w:rsidRPr="00624429" w:rsidRDefault="00624429" w:rsidP="00A83BCD">
            <w:pPr>
              <w:spacing w:after="0" w:line="240" w:lineRule="auto"/>
              <w:ind w:firstLine="0"/>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CUN-03</w:t>
            </w:r>
          </w:p>
        </w:tc>
        <w:tc>
          <w:tcPr>
            <w:tcW w:w="2126" w:type="dxa"/>
            <w:tcBorders>
              <w:top w:val="nil"/>
              <w:left w:val="nil"/>
              <w:bottom w:val="single" w:sz="4" w:space="0" w:color="auto"/>
              <w:right w:val="single" w:sz="4" w:space="0" w:color="auto"/>
            </w:tcBorders>
            <w:shd w:val="clear" w:color="000000" w:fill="FFFFFF"/>
            <w:vAlign w:val="center"/>
            <w:hideMark/>
          </w:tcPr>
          <w:p w14:paraId="4EE58060" w14:textId="77777777" w:rsidR="00624429" w:rsidRPr="00624429" w:rsidRDefault="00624429" w:rsidP="00A83BCD">
            <w:pPr>
              <w:spacing w:after="0" w:line="240" w:lineRule="auto"/>
              <w:ind w:firstLine="0"/>
              <w:jc w:val="center"/>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Auditoría de Gestión</w:t>
            </w:r>
          </w:p>
        </w:tc>
        <w:tc>
          <w:tcPr>
            <w:tcW w:w="5321" w:type="dxa"/>
            <w:tcBorders>
              <w:top w:val="nil"/>
              <w:left w:val="nil"/>
              <w:bottom w:val="single" w:sz="4" w:space="0" w:color="auto"/>
              <w:right w:val="single" w:sz="4" w:space="0" w:color="auto"/>
            </w:tcBorders>
            <w:shd w:val="clear" w:color="000000" w:fill="FFFFFF"/>
            <w:vAlign w:val="center"/>
            <w:hideMark/>
          </w:tcPr>
          <w:p w14:paraId="557ABA04" w14:textId="77777777" w:rsidR="00624429" w:rsidRPr="00624429" w:rsidRDefault="00624429" w:rsidP="00A83BCD">
            <w:pPr>
              <w:spacing w:after="0" w:line="240" w:lineRule="auto"/>
              <w:ind w:firstLine="0"/>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El Gerente visualiza métricas de resolución y tiempos de respuesta (SLA).</w:t>
            </w:r>
          </w:p>
        </w:tc>
      </w:tr>
      <w:tr w:rsidR="00052ED1" w:rsidRPr="00624429" w14:paraId="2F93A5CB" w14:textId="77777777" w:rsidTr="00052ED1">
        <w:trPr>
          <w:trHeight w:val="500"/>
          <w:jc w:val="center"/>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6E27EF7E" w14:textId="77777777" w:rsidR="00624429" w:rsidRPr="00624429" w:rsidRDefault="00624429" w:rsidP="00A83BCD">
            <w:pPr>
              <w:spacing w:after="0" w:line="240" w:lineRule="auto"/>
              <w:ind w:firstLine="0"/>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CUN-04</w:t>
            </w:r>
          </w:p>
        </w:tc>
        <w:tc>
          <w:tcPr>
            <w:tcW w:w="2126" w:type="dxa"/>
            <w:tcBorders>
              <w:top w:val="nil"/>
              <w:left w:val="nil"/>
              <w:bottom w:val="single" w:sz="4" w:space="0" w:color="auto"/>
              <w:right w:val="single" w:sz="4" w:space="0" w:color="auto"/>
            </w:tcBorders>
            <w:shd w:val="clear" w:color="000000" w:fill="FFFFFF"/>
            <w:vAlign w:val="center"/>
            <w:hideMark/>
          </w:tcPr>
          <w:p w14:paraId="0D1B9BE1" w14:textId="77777777" w:rsidR="00624429" w:rsidRPr="00624429" w:rsidRDefault="00624429" w:rsidP="00A83BCD">
            <w:pPr>
              <w:spacing w:after="0" w:line="240" w:lineRule="auto"/>
              <w:ind w:firstLine="0"/>
              <w:jc w:val="center"/>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Consulta Técnica</w:t>
            </w:r>
          </w:p>
        </w:tc>
        <w:tc>
          <w:tcPr>
            <w:tcW w:w="5321" w:type="dxa"/>
            <w:tcBorders>
              <w:top w:val="nil"/>
              <w:left w:val="nil"/>
              <w:bottom w:val="single" w:sz="4" w:space="0" w:color="auto"/>
              <w:right w:val="single" w:sz="4" w:space="0" w:color="auto"/>
            </w:tcBorders>
            <w:shd w:val="clear" w:color="000000" w:fill="FFFFFF"/>
            <w:vAlign w:val="center"/>
            <w:hideMark/>
          </w:tcPr>
          <w:p w14:paraId="7737B7D0" w14:textId="77777777" w:rsidR="00624429" w:rsidRPr="00624429" w:rsidRDefault="00624429" w:rsidP="00A83BCD">
            <w:pPr>
              <w:spacing w:after="0" w:line="240" w:lineRule="auto"/>
              <w:ind w:firstLine="0"/>
              <w:rPr>
                <w:rFonts w:ascii="Arial" w:eastAsia="Times New Roman" w:hAnsi="Arial" w:cs="Arial"/>
                <w:color w:val="000000"/>
                <w:sz w:val="20"/>
                <w:szCs w:val="20"/>
                <w:lang w:eastAsia="es-VE"/>
              </w:rPr>
            </w:pPr>
            <w:r w:rsidRPr="00624429">
              <w:rPr>
                <w:rFonts w:ascii="Arial" w:eastAsia="Times New Roman" w:hAnsi="Arial" w:cs="Arial"/>
                <w:color w:val="000000"/>
                <w:sz w:val="20"/>
                <w:szCs w:val="20"/>
                <w:lang w:eastAsia="es-VE"/>
              </w:rPr>
              <w:t>El Técnico accede a la base de conocimientos para diagnósticos remotos.</w:t>
            </w:r>
          </w:p>
        </w:tc>
      </w:tr>
    </w:tbl>
    <w:p w14:paraId="240048DC" w14:textId="05EF5F2A"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center"/>
        <w:rPr>
          <w:rFonts w:ascii="Arial" w:eastAsia="Times New Roman" w:hAnsi="Arial" w:cs="Arial"/>
          <w:lang w:eastAsia="es-VE"/>
        </w:rPr>
      </w:pPr>
      <w:r w:rsidRPr="00052ED1">
        <w:rPr>
          <w:rFonts w:ascii="Arial" w:eastAsia="Times New Roman" w:hAnsi="Arial" w:cs="Arial"/>
          <w:lang w:eastAsia="es-VE"/>
        </w:rPr>
        <w:lastRenderedPageBreak/>
        <w:t>Diagrama Entidad-Relación (Modelo De Datos)</w:t>
      </w:r>
    </w:p>
    <w:p w14:paraId="39F7D87E"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rPr>
          <w:rFonts w:ascii="Arial" w:eastAsia="Times New Roman" w:hAnsi="Arial" w:cs="Arial"/>
          <w:lang w:eastAsia="es-VE"/>
        </w:rPr>
      </w:pPr>
    </w:p>
    <w:p w14:paraId="10879C08" w14:textId="0196E7EB"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rPr>
          <w:rFonts w:ascii="Arial" w:eastAsia="Times New Roman" w:hAnsi="Arial" w:cs="Arial"/>
          <w:lang w:eastAsia="es-VE"/>
        </w:rPr>
      </w:pPr>
      <w:r>
        <w:rPr>
          <w:rFonts w:ascii="Arial" w:eastAsia="Times New Roman" w:hAnsi="Arial" w:cs="Arial"/>
          <w:lang w:eastAsia="es-VE"/>
        </w:rPr>
        <w:tab/>
      </w:r>
      <w:r w:rsidRPr="00052ED1">
        <w:rPr>
          <w:rFonts w:ascii="Arial" w:eastAsia="Times New Roman" w:hAnsi="Arial" w:cs="Arial"/>
          <w:lang w:eastAsia="es-VE"/>
        </w:rPr>
        <w:t>Este diagrama representa la arquitectura de la base de datos del sistema INN-INVENTARIO, diseñada para garantizar la trazabilidad total de los activos y la eficiencia en la gestión de soporte técnico.</w:t>
      </w:r>
    </w:p>
    <w:p w14:paraId="7ADD97AF" w14:textId="77777777" w:rsid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p>
    <w:p w14:paraId="06119421" w14:textId="77777777" w:rsid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p>
    <w:p w14:paraId="590A0BC3" w14:textId="22112051"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 UBICACIONES ]          [ USUARIOS ]          [ CATEGORÍAS ]</w:t>
      </w:r>
    </w:p>
    <w:p w14:paraId="71720F81"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(Oficinas/Racks)        (Responsables)        (Hardware/Red)</w:t>
      </w:r>
    </w:p>
    <w:p w14:paraId="3FC9B5A2"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                      |                      |</w:t>
      </w:r>
    </w:p>
    <w:p w14:paraId="3849E5BD"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                      |                      |</w:t>
      </w:r>
    </w:p>
    <w:p w14:paraId="05FF4DFE"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w:t>
      </w:r>
    </w:p>
    <w:p w14:paraId="2E5FC3F2"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                      |</w:t>
      </w:r>
    </w:p>
    <w:p w14:paraId="2AECD702"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  ACTIVOS  ] &lt;--------------+</w:t>
      </w:r>
    </w:p>
    <w:p w14:paraId="5B013520" w14:textId="14A092D2"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(Equipos/</w:t>
      </w:r>
      <w:r w:rsidRPr="00052ED1">
        <w:rPr>
          <w:rFonts w:ascii="Courier New" w:eastAsia="Times New Roman" w:hAnsi="Courier New" w:cs="Courier New"/>
          <w:sz w:val="20"/>
          <w:szCs w:val="20"/>
          <w:lang w:eastAsia="es-VE"/>
        </w:rPr>
        <w:t>PC</w:t>
      </w:r>
      <w:r w:rsidRPr="00052ED1">
        <w:rPr>
          <w:rFonts w:ascii="Courier New" w:eastAsia="Times New Roman" w:hAnsi="Courier New" w:cs="Courier New"/>
          <w:sz w:val="20"/>
          <w:szCs w:val="20"/>
          <w:lang w:eastAsia="es-VE"/>
        </w:rPr>
        <w:t>)</w:t>
      </w:r>
    </w:p>
    <w:p w14:paraId="585FFED1"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w:t>
      </w:r>
    </w:p>
    <w:p w14:paraId="75BF6ADE"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 (1:N)</w:t>
      </w:r>
    </w:p>
    <w:p w14:paraId="4B73C9C6"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w:t>
      </w:r>
    </w:p>
    <w:p w14:paraId="341085F9" w14:textId="77777777"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   TICKETS   ] &lt;------------ [  TÉCNICOS  ]</w:t>
      </w:r>
    </w:p>
    <w:p w14:paraId="78F08183" w14:textId="077025E0" w:rsidR="00052ED1" w:rsidRPr="00052ED1" w:rsidRDefault="00052ED1" w:rsidP="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s-VE"/>
        </w:rPr>
      </w:pPr>
      <w:r w:rsidRPr="00052ED1">
        <w:rPr>
          <w:rFonts w:ascii="Courier New" w:eastAsia="Times New Roman" w:hAnsi="Courier New" w:cs="Courier New"/>
          <w:sz w:val="20"/>
          <w:szCs w:val="20"/>
          <w:lang w:eastAsia="es-VE"/>
        </w:rPr>
        <w:t xml:space="preserve">                (</w:t>
      </w:r>
      <w:r w:rsidRPr="00052ED1">
        <w:rPr>
          <w:rFonts w:ascii="Courier New" w:eastAsia="Times New Roman" w:hAnsi="Courier New" w:cs="Courier New"/>
          <w:sz w:val="20"/>
          <w:szCs w:val="20"/>
          <w:lang w:eastAsia="es-VE"/>
        </w:rPr>
        <w:t xml:space="preserve">Incidencias)  </w:t>
      </w:r>
      <w:r w:rsidRPr="00052ED1">
        <w:rPr>
          <w:rFonts w:ascii="Courier New" w:eastAsia="Times New Roman" w:hAnsi="Courier New" w:cs="Courier New"/>
          <w:sz w:val="20"/>
          <w:szCs w:val="20"/>
          <w:lang w:eastAsia="es-VE"/>
        </w:rPr>
        <w:t xml:space="preserve">           (Soporte Nivel 1)</w:t>
      </w:r>
    </w:p>
    <w:p w14:paraId="4E4C20B5" w14:textId="77777777" w:rsidR="00624429" w:rsidRPr="00624429" w:rsidRDefault="00624429" w:rsidP="00624429">
      <w:pPr>
        <w:jc w:val="both"/>
        <w:rPr>
          <w:rFonts w:ascii="Arial" w:hAnsi="Arial" w:cs="Arial"/>
          <w:lang w:val="es-ES"/>
        </w:rPr>
      </w:pPr>
    </w:p>
    <w:p w14:paraId="0C1134F5" w14:textId="19EDB05B" w:rsidR="0060396E" w:rsidRPr="0060396E" w:rsidRDefault="0060396E" w:rsidP="0060396E">
      <w:pPr>
        <w:jc w:val="both"/>
        <w:rPr>
          <w:rFonts w:ascii="Arial" w:hAnsi="Arial" w:cs="Arial"/>
          <w:lang w:val="es-ES"/>
        </w:rPr>
      </w:pPr>
      <w:r w:rsidRPr="0060396E">
        <w:rPr>
          <w:rFonts w:ascii="Arial" w:hAnsi="Arial" w:cs="Arial"/>
          <w:lang w:val="es-ES"/>
        </w:rPr>
        <w:t>Diccionario De Datos (Atributos Clave)</w:t>
      </w:r>
    </w:p>
    <w:p w14:paraId="598F8FED" w14:textId="4CEDBCC0" w:rsidR="00624429" w:rsidRDefault="0060396E" w:rsidP="0060396E">
      <w:pPr>
        <w:ind w:firstLine="708"/>
        <w:jc w:val="both"/>
        <w:rPr>
          <w:rFonts w:ascii="Arial" w:hAnsi="Arial" w:cs="Arial"/>
          <w:lang w:val="es-ES"/>
        </w:rPr>
      </w:pPr>
      <w:r w:rsidRPr="0060396E">
        <w:rPr>
          <w:rFonts w:ascii="Arial" w:hAnsi="Arial" w:cs="Arial"/>
          <w:lang w:val="es-ES"/>
        </w:rPr>
        <w:t>Para que el modelo sea auditable, cada entidad posee campos específicos que aseguran la Integridad ACiD:</w:t>
      </w:r>
    </w:p>
    <w:tbl>
      <w:tblPr>
        <w:tblpPr w:leftFromText="141" w:rightFromText="141" w:vertAnchor="text" w:tblpY="1"/>
        <w:tblOverlap w:val="never"/>
        <w:tblW w:w="9238" w:type="dxa"/>
        <w:tblCellMar>
          <w:left w:w="70" w:type="dxa"/>
          <w:right w:w="70" w:type="dxa"/>
        </w:tblCellMar>
        <w:tblLook w:val="04A0" w:firstRow="1" w:lastRow="0" w:firstColumn="1" w:lastColumn="0" w:noHBand="0" w:noVBand="1"/>
      </w:tblPr>
      <w:tblGrid>
        <w:gridCol w:w="2553"/>
        <w:gridCol w:w="2895"/>
        <w:gridCol w:w="3790"/>
      </w:tblGrid>
      <w:tr w:rsidR="0060396E" w:rsidRPr="0060396E" w14:paraId="5979981E" w14:textId="77777777" w:rsidTr="0060396E">
        <w:trPr>
          <w:trHeight w:val="291"/>
        </w:trPr>
        <w:tc>
          <w:tcPr>
            <w:tcW w:w="25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AC00E" w14:textId="77777777" w:rsidR="0060396E" w:rsidRPr="0060396E" w:rsidRDefault="0060396E" w:rsidP="0060396E">
            <w:pPr>
              <w:spacing w:after="0" w:line="240" w:lineRule="auto"/>
              <w:ind w:firstLine="0"/>
              <w:jc w:val="center"/>
              <w:rPr>
                <w:rFonts w:ascii="Calibri" w:eastAsia="Times New Roman" w:hAnsi="Calibri" w:cs="Calibri"/>
                <w:b/>
                <w:bCs/>
                <w:color w:val="000000"/>
                <w:lang w:eastAsia="es-VE"/>
              </w:rPr>
            </w:pPr>
            <w:r w:rsidRPr="0060396E">
              <w:rPr>
                <w:rFonts w:ascii="Calibri" w:eastAsia="Times New Roman" w:hAnsi="Calibri" w:cs="Calibri"/>
                <w:b/>
                <w:bCs/>
                <w:color w:val="000000"/>
                <w:lang w:eastAsia="es-VE"/>
              </w:rPr>
              <w:t>Entidad</w:t>
            </w:r>
          </w:p>
        </w:tc>
        <w:tc>
          <w:tcPr>
            <w:tcW w:w="2895" w:type="dxa"/>
            <w:tcBorders>
              <w:top w:val="single" w:sz="4" w:space="0" w:color="auto"/>
              <w:left w:val="nil"/>
              <w:bottom w:val="single" w:sz="4" w:space="0" w:color="auto"/>
              <w:right w:val="single" w:sz="4" w:space="0" w:color="auto"/>
            </w:tcBorders>
            <w:shd w:val="clear" w:color="auto" w:fill="auto"/>
            <w:vAlign w:val="center"/>
            <w:hideMark/>
          </w:tcPr>
          <w:p w14:paraId="4546A25E" w14:textId="77777777" w:rsidR="0060396E" w:rsidRPr="0060396E" w:rsidRDefault="0060396E" w:rsidP="0060396E">
            <w:pPr>
              <w:spacing w:after="0" w:line="240" w:lineRule="auto"/>
              <w:ind w:firstLine="0"/>
              <w:jc w:val="center"/>
              <w:rPr>
                <w:rFonts w:ascii="Calibri" w:eastAsia="Times New Roman" w:hAnsi="Calibri" w:cs="Calibri"/>
                <w:b/>
                <w:bCs/>
                <w:color w:val="000000"/>
                <w:lang w:eastAsia="es-VE"/>
              </w:rPr>
            </w:pPr>
            <w:r w:rsidRPr="0060396E">
              <w:rPr>
                <w:rFonts w:ascii="Calibri" w:eastAsia="Times New Roman" w:hAnsi="Calibri" w:cs="Calibri"/>
                <w:b/>
                <w:bCs/>
                <w:color w:val="000000"/>
                <w:lang w:eastAsia="es-VE"/>
              </w:rPr>
              <w:t>Atributos Principales</w:t>
            </w:r>
          </w:p>
        </w:tc>
        <w:tc>
          <w:tcPr>
            <w:tcW w:w="3790" w:type="dxa"/>
            <w:tcBorders>
              <w:top w:val="single" w:sz="4" w:space="0" w:color="auto"/>
              <w:left w:val="nil"/>
              <w:bottom w:val="single" w:sz="4" w:space="0" w:color="auto"/>
              <w:right w:val="single" w:sz="4" w:space="0" w:color="auto"/>
            </w:tcBorders>
            <w:shd w:val="clear" w:color="auto" w:fill="auto"/>
            <w:vAlign w:val="center"/>
            <w:hideMark/>
          </w:tcPr>
          <w:p w14:paraId="41CFBC5A" w14:textId="77777777" w:rsidR="0060396E" w:rsidRPr="0060396E" w:rsidRDefault="0060396E" w:rsidP="0060396E">
            <w:pPr>
              <w:spacing w:after="0" w:line="240" w:lineRule="auto"/>
              <w:ind w:firstLine="0"/>
              <w:jc w:val="center"/>
              <w:rPr>
                <w:rFonts w:ascii="Calibri" w:eastAsia="Times New Roman" w:hAnsi="Calibri" w:cs="Calibri"/>
                <w:b/>
                <w:bCs/>
                <w:color w:val="000000"/>
                <w:lang w:eastAsia="es-VE"/>
              </w:rPr>
            </w:pPr>
            <w:r w:rsidRPr="0060396E">
              <w:rPr>
                <w:rFonts w:ascii="Calibri" w:eastAsia="Times New Roman" w:hAnsi="Calibri" w:cs="Calibri"/>
                <w:b/>
                <w:bCs/>
                <w:color w:val="000000"/>
                <w:lang w:eastAsia="es-VE"/>
              </w:rPr>
              <w:t>Lógica de Negocio</w:t>
            </w:r>
          </w:p>
        </w:tc>
      </w:tr>
      <w:tr w:rsidR="0060396E" w:rsidRPr="0060396E" w14:paraId="71522F54" w14:textId="77777777" w:rsidTr="0060396E">
        <w:trPr>
          <w:trHeight w:val="583"/>
        </w:trPr>
        <w:tc>
          <w:tcPr>
            <w:tcW w:w="2553" w:type="dxa"/>
            <w:tcBorders>
              <w:top w:val="nil"/>
              <w:left w:val="single" w:sz="4" w:space="0" w:color="auto"/>
              <w:bottom w:val="single" w:sz="4" w:space="0" w:color="auto"/>
              <w:right w:val="single" w:sz="4" w:space="0" w:color="auto"/>
            </w:tcBorders>
            <w:shd w:val="clear" w:color="auto" w:fill="auto"/>
            <w:vAlign w:val="center"/>
            <w:hideMark/>
          </w:tcPr>
          <w:p w14:paraId="28CDA56B" w14:textId="77777777" w:rsidR="0060396E" w:rsidRPr="0060396E" w:rsidRDefault="0060396E" w:rsidP="0060396E">
            <w:pPr>
              <w:spacing w:after="0" w:line="240" w:lineRule="auto"/>
              <w:ind w:firstLine="0"/>
              <w:jc w:val="center"/>
              <w:rPr>
                <w:rFonts w:ascii="Calibri" w:eastAsia="Times New Roman" w:hAnsi="Calibri" w:cs="Calibri"/>
                <w:b/>
                <w:bCs/>
                <w:color w:val="000000"/>
                <w:lang w:eastAsia="es-VE"/>
              </w:rPr>
            </w:pPr>
            <w:r w:rsidRPr="0060396E">
              <w:rPr>
                <w:rFonts w:ascii="Calibri" w:eastAsia="Times New Roman" w:hAnsi="Calibri" w:cs="Calibri"/>
                <w:b/>
                <w:bCs/>
                <w:color w:val="000000"/>
                <w:lang w:eastAsia="es-VE"/>
              </w:rPr>
              <w:t>ACTIVOS</w:t>
            </w:r>
          </w:p>
        </w:tc>
        <w:tc>
          <w:tcPr>
            <w:tcW w:w="2895" w:type="dxa"/>
            <w:tcBorders>
              <w:top w:val="nil"/>
              <w:left w:val="nil"/>
              <w:bottom w:val="single" w:sz="4" w:space="0" w:color="auto"/>
              <w:right w:val="single" w:sz="4" w:space="0" w:color="auto"/>
            </w:tcBorders>
            <w:shd w:val="clear" w:color="auto" w:fill="auto"/>
            <w:vAlign w:val="center"/>
            <w:hideMark/>
          </w:tcPr>
          <w:p w14:paraId="744FD0A3" w14:textId="77777777" w:rsidR="0060396E" w:rsidRPr="0060396E" w:rsidRDefault="0060396E" w:rsidP="0060396E">
            <w:pPr>
              <w:spacing w:after="0" w:line="240" w:lineRule="auto"/>
              <w:ind w:firstLine="0"/>
              <w:jc w:val="center"/>
              <w:rPr>
                <w:rFonts w:ascii="Calibri" w:eastAsia="Times New Roman" w:hAnsi="Calibri" w:cs="Calibri"/>
                <w:color w:val="000000"/>
                <w:lang w:eastAsia="es-VE"/>
              </w:rPr>
            </w:pPr>
            <w:r w:rsidRPr="0060396E">
              <w:rPr>
                <w:rFonts w:ascii="Calibri" w:eastAsia="Times New Roman" w:hAnsi="Calibri" w:cs="Calibri"/>
                <w:color w:val="000000"/>
                <w:lang w:eastAsia="es-VE"/>
              </w:rPr>
              <w:t>ID, Serial, Marca, Modelo, IP, Estado.</w:t>
            </w:r>
          </w:p>
        </w:tc>
        <w:tc>
          <w:tcPr>
            <w:tcW w:w="3790" w:type="dxa"/>
            <w:tcBorders>
              <w:top w:val="nil"/>
              <w:left w:val="nil"/>
              <w:bottom w:val="single" w:sz="4" w:space="0" w:color="auto"/>
              <w:right w:val="single" w:sz="4" w:space="0" w:color="auto"/>
            </w:tcBorders>
            <w:shd w:val="clear" w:color="auto" w:fill="auto"/>
            <w:vAlign w:val="center"/>
            <w:hideMark/>
          </w:tcPr>
          <w:p w14:paraId="3503E418" w14:textId="77777777" w:rsidR="0060396E" w:rsidRPr="0060396E" w:rsidRDefault="0060396E" w:rsidP="0060396E">
            <w:pPr>
              <w:spacing w:after="0" w:line="240" w:lineRule="auto"/>
              <w:ind w:firstLine="0"/>
              <w:jc w:val="center"/>
              <w:rPr>
                <w:rFonts w:ascii="Calibri" w:eastAsia="Times New Roman" w:hAnsi="Calibri" w:cs="Calibri"/>
                <w:color w:val="000000"/>
                <w:lang w:eastAsia="es-VE"/>
              </w:rPr>
            </w:pPr>
            <w:r w:rsidRPr="0060396E">
              <w:rPr>
                <w:rFonts w:ascii="Calibri" w:eastAsia="Times New Roman" w:hAnsi="Calibri" w:cs="Calibri"/>
                <w:color w:val="000000"/>
                <w:lang w:eastAsia="es-VE"/>
              </w:rPr>
              <w:t>Relaciona el hardware con su ubicación física y lógica.</w:t>
            </w:r>
          </w:p>
        </w:tc>
      </w:tr>
      <w:tr w:rsidR="0060396E" w:rsidRPr="0060396E" w14:paraId="39818600" w14:textId="77777777" w:rsidTr="0060396E">
        <w:trPr>
          <w:trHeight w:val="1167"/>
        </w:trPr>
        <w:tc>
          <w:tcPr>
            <w:tcW w:w="2553" w:type="dxa"/>
            <w:tcBorders>
              <w:top w:val="nil"/>
              <w:left w:val="single" w:sz="4" w:space="0" w:color="auto"/>
              <w:bottom w:val="single" w:sz="4" w:space="0" w:color="auto"/>
              <w:right w:val="single" w:sz="4" w:space="0" w:color="auto"/>
            </w:tcBorders>
            <w:shd w:val="clear" w:color="auto" w:fill="auto"/>
            <w:vAlign w:val="center"/>
            <w:hideMark/>
          </w:tcPr>
          <w:p w14:paraId="78EE95B5" w14:textId="77777777" w:rsidR="0060396E" w:rsidRPr="0060396E" w:rsidRDefault="0060396E" w:rsidP="0060396E">
            <w:pPr>
              <w:spacing w:after="0" w:line="240" w:lineRule="auto"/>
              <w:ind w:firstLine="0"/>
              <w:jc w:val="center"/>
              <w:rPr>
                <w:rFonts w:ascii="Calibri" w:eastAsia="Times New Roman" w:hAnsi="Calibri" w:cs="Calibri"/>
                <w:b/>
                <w:bCs/>
                <w:color w:val="000000"/>
                <w:lang w:eastAsia="es-VE"/>
              </w:rPr>
            </w:pPr>
            <w:r w:rsidRPr="0060396E">
              <w:rPr>
                <w:rFonts w:ascii="Calibri" w:eastAsia="Times New Roman" w:hAnsi="Calibri" w:cs="Calibri"/>
                <w:b/>
                <w:bCs/>
                <w:color w:val="000000"/>
                <w:lang w:eastAsia="es-VE"/>
              </w:rPr>
              <w:t>TICKETS</w:t>
            </w:r>
          </w:p>
        </w:tc>
        <w:tc>
          <w:tcPr>
            <w:tcW w:w="2895" w:type="dxa"/>
            <w:tcBorders>
              <w:top w:val="nil"/>
              <w:left w:val="nil"/>
              <w:bottom w:val="single" w:sz="4" w:space="0" w:color="auto"/>
              <w:right w:val="single" w:sz="4" w:space="0" w:color="auto"/>
            </w:tcBorders>
            <w:shd w:val="clear" w:color="auto" w:fill="auto"/>
            <w:vAlign w:val="center"/>
            <w:hideMark/>
          </w:tcPr>
          <w:p w14:paraId="73F24C0B" w14:textId="77777777" w:rsidR="0060396E" w:rsidRPr="0060396E" w:rsidRDefault="0060396E" w:rsidP="0060396E">
            <w:pPr>
              <w:spacing w:after="0" w:line="240" w:lineRule="auto"/>
              <w:ind w:firstLine="0"/>
              <w:jc w:val="center"/>
              <w:rPr>
                <w:rFonts w:ascii="Calibri" w:eastAsia="Times New Roman" w:hAnsi="Calibri" w:cs="Calibri"/>
                <w:color w:val="000000"/>
                <w:lang w:eastAsia="es-VE"/>
              </w:rPr>
            </w:pPr>
            <w:r w:rsidRPr="0060396E">
              <w:rPr>
                <w:rFonts w:ascii="Calibri" w:eastAsia="Times New Roman" w:hAnsi="Calibri" w:cs="Calibri"/>
                <w:color w:val="000000"/>
                <w:lang w:eastAsia="es-VE"/>
              </w:rPr>
              <w:t xml:space="preserve">ID, Descripción, Prioridad, </w:t>
            </w:r>
            <w:proofErr w:type="spellStart"/>
            <w:r w:rsidRPr="0060396E">
              <w:rPr>
                <w:rFonts w:ascii="Calibri" w:eastAsia="Times New Roman" w:hAnsi="Calibri" w:cs="Calibri"/>
                <w:color w:val="000000"/>
                <w:lang w:eastAsia="es-VE"/>
              </w:rPr>
              <w:t>Fecha_Apertura</w:t>
            </w:r>
            <w:proofErr w:type="spellEnd"/>
            <w:r w:rsidRPr="0060396E">
              <w:rPr>
                <w:rFonts w:ascii="Calibri" w:eastAsia="Times New Roman" w:hAnsi="Calibri" w:cs="Calibri"/>
                <w:color w:val="000000"/>
                <w:lang w:eastAsia="es-VE"/>
              </w:rPr>
              <w:t>, Status.</w:t>
            </w:r>
          </w:p>
        </w:tc>
        <w:tc>
          <w:tcPr>
            <w:tcW w:w="3790" w:type="dxa"/>
            <w:tcBorders>
              <w:top w:val="nil"/>
              <w:left w:val="nil"/>
              <w:bottom w:val="single" w:sz="4" w:space="0" w:color="auto"/>
              <w:right w:val="single" w:sz="4" w:space="0" w:color="auto"/>
            </w:tcBorders>
            <w:shd w:val="clear" w:color="auto" w:fill="auto"/>
            <w:vAlign w:val="center"/>
            <w:hideMark/>
          </w:tcPr>
          <w:p w14:paraId="315C359D" w14:textId="77777777" w:rsidR="0060396E" w:rsidRPr="0060396E" w:rsidRDefault="0060396E" w:rsidP="0060396E">
            <w:pPr>
              <w:spacing w:after="0" w:line="240" w:lineRule="auto"/>
              <w:ind w:firstLine="0"/>
              <w:jc w:val="center"/>
              <w:rPr>
                <w:rFonts w:ascii="Calibri" w:eastAsia="Times New Roman" w:hAnsi="Calibri" w:cs="Calibri"/>
                <w:color w:val="000000"/>
                <w:lang w:eastAsia="es-VE"/>
              </w:rPr>
            </w:pPr>
            <w:r w:rsidRPr="0060396E">
              <w:rPr>
                <w:rFonts w:ascii="Calibri" w:eastAsia="Times New Roman" w:hAnsi="Calibri" w:cs="Calibri"/>
                <w:color w:val="000000"/>
                <w:lang w:eastAsia="es-VE"/>
              </w:rPr>
              <w:t>Registra el ciclo de vida de la falla (Abierto/Cerrado).</w:t>
            </w:r>
          </w:p>
        </w:tc>
      </w:tr>
      <w:tr w:rsidR="0060396E" w:rsidRPr="0060396E" w14:paraId="4591A14E" w14:textId="77777777" w:rsidTr="0060396E">
        <w:trPr>
          <w:trHeight w:val="583"/>
        </w:trPr>
        <w:tc>
          <w:tcPr>
            <w:tcW w:w="2553" w:type="dxa"/>
            <w:tcBorders>
              <w:top w:val="nil"/>
              <w:left w:val="single" w:sz="4" w:space="0" w:color="auto"/>
              <w:bottom w:val="single" w:sz="4" w:space="0" w:color="auto"/>
              <w:right w:val="single" w:sz="4" w:space="0" w:color="auto"/>
            </w:tcBorders>
            <w:shd w:val="clear" w:color="auto" w:fill="auto"/>
            <w:vAlign w:val="center"/>
            <w:hideMark/>
          </w:tcPr>
          <w:p w14:paraId="38FE9028" w14:textId="77777777" w:rsidR="0060396E" w:rsidRPr="0060396E" w:rsidRDefault="0060396E" w:rsidP="0060396E">
            <w:pPr>
              <w:spacing w:after="0" w:line="240" w:lineRule="auto"/>
              <w:ind w:firstLine="0"/>
              <w:jc w:val="center"/>
              <w:rPr>
                <w:rFonts w:ascii="Calibri" w:eastAsia="Times New Roman" w:hAnsi="Calibri" w:cs="Calibri"/>
                <w:b/>
                <w:bCs/>
                <w:color w:val="000000"/>
                <w:lang w:eastAsia="es-VE"/>
              </w:rPr>
            </w:pPr>
            <w:r w:rsidRPr="0060396E">
              <w:rPr>
                <w:rFonts w:ascii="Calibri" w:eastAsia="Times New Roman" w:hAnsi="Calibri" w:cs="Calibri"/>
                <w:b/>
                <w:bCs/>
                <w:color w:val="000000"/>
                <w:lang w:eastAsia="es-VE"/>
              </w:rPr>
              <w:t>UBICACIONES</w:t>
            </w:r>
          </w:p>
        </w:tc>
        <w:tc>
          <w:tcPr>
            <w:tcW w:w="2895" w:type="dxa"/>
            <w:tcBorders>
              <w:top w:val="nil"/>
              <w:left w:val="nil"/>
              <w:bottom w:val="single" w:sz="4" w:space="0" w:color="auto"/>
              <w:right w:val="single" w:sz="4" w:space="0" w:color="auto"/>
            </w:tcBorders>
            <w:shd w:val="clear" w:color="auto" w:fill="auto"/>
            <w:vAlign w:val="center"/>
            <w:hideMark/>
          </w:tcPr>
          <w:p w14:paraId="18ED266D" w14:textId="77777777" w:rsidR="0060396E" w:rsidRPr="0060396E" w:rsidRDefault="0060396E" w:rsidP="0060396E">
            <w:pPr>
              <w:spacing w:after="0" w:line="240" w:lineRule="auto"/>
              <w:ind w:firstLine="0"/>
              <w:jc w:val="center"/>
              <w:rPr>
                <w:rFonts w:ascii="Calibri" w:eastAsia="Times New Roman" w:hAnsi="Calibri" w:cs="Calibri"/>
                <w:color w:val="000000"/>
                <w:lang w:eastAsia="es-VE"/>
              </w:rPr>
            </w:pPr>
            <w:r w:rsidRPr="0060396E">
              <w:rPr>
                <w:rFonts w:ascii="Calibri" w:eastAsia="Times New Roman" w:hAnsi="Calibri" w:cs="Calibri"/>
                <w:color w:val="000000"/>
                <w:lang w:eastAsia="es-VE"/>
              </w:rPr>
              <w:t xml:space="preserve">ID, Departamento, Ala, Nivel, </w:t>
            </w:r>
            <w:proofErr w:type="spellStart"/>
            <w:r w:rsidRPr="0060396E">
              <w:rPr>
                <w:rFonts w:ascii="Calibri" w:eastAsia="Times New Roman" w:hAnsi="Calibri" w:cs="Calibri"/>
                <w:color w:val="000000"/>
                <w:lang w:eastAsia="es-VE"/>
              </w:rPr>
              <w:t>Rack_ID</w:t>
            </w:r>
            <w:proofErr w:type="spellEnd"/>
            <w:r w:rsidRPr="0060396E">
              <w:rPr>
                <w:rFonts w:ascii="Calibri" w:eastAsia="Times New Roman" w:hAnsi="Calibri" w:cs="Calibri"/>
                <w:color w:val="000000"/>
                <w:lang w:eastAsia="es-VE"/>
              </w:rPr>
              <w:t>.</w:t>
            </w:r>
          </w:p>
        </w:tc>
        <w:tc>
          <w:tcPr>
            <w:tcW w:w="3790" w:type="dxa"/>
            <w:tcBorders>
              <w:top w:val="nil"/>
              <w:left w:val="nil"/>
              <w:bottom w:val="single" w:sz="4" w:space="0" w:color="auto"/>
              <w:right w:val="single" w:sz="4" w:space="0" w:color="auto"/>
            </w:tcBorders>
            <w:shd w:val="clear" w:color="auto" w:fill="auto"/>
            <w:vAlign w:val="center"/>
            <w:hideMark/>
          </w:tcPr>
          <w:p w14:paraId="5CE7D98B" w14:textId="77777777" w:rsidR="0060396E" w:rsidRPr="0060396E" w:rsidRDefault="0060396E" w:rsidP="0060396E">
            <w:pPr>
              <w:spacing w:after="0" w:line="240" w:lineRule="auto"/>
              <w:ind w:firstLine="0"/>
              <w:jc w:val="center"/>
              <w:rPr>
                <w:rFonts w:ascii="Calibri" w:eastAsia="Times New Roman" w:hAnsi="Calibri" w:cs="Calibri"/>
                <w:color w:val="000000"/>
                <w:lang w:eastAsia="es-VE"/>
              </w:rPr>
            </w:pPr>
            <w:r w:rsidRPr="0060396E">
              <w:rPr>
                <w:rFonts w:ascii="Calibri" w:eastAsia="Times New Roman" w:hAnsi="Calibri" w:cs="Calibri"/>
                <w:color w:val="000000"/>
                <w:lang w:eastAsia="es-VE"/>
              </w:rPr>
              <w:t>Permite la geolocalización técnica del equipo en el INN.</w:t>
            </w:r>
          </w:p>
        </w:tc>
      </w:tr>
      <w:tr w:rsidR="0060396E" w:rsidRPr="0060396E" w14:paraId="790B8560" w14:textId="77777777" w:rsidTr="0060396E">
        <w:trPr>
          <w:trHeight w:val="875"/>
        </w:trPr>
        <w:tc>
          <w:tcPr>
            <w:tcW w:w="2553" w:type="dxa"/>
            <w:tcBorders>
              <w:top w:val="nil"/>
              <w:left w:val="single" w:sz="4" w:space="0" w:color="auto"/>
              <w:bottom w:val="single" w:sz="4" w:space="0" w:color="auto"/>
              <w:right w:val="single" w:sz="4" w:space="0" w:color="auto"/>
            </w:tcBorders>
            <w:shd w:val="clear" w:color="auto" w:fill="auto"/>
            <w:vAlign w:val="center"/>
            <w:hideMark/>
          </w:tcPr>
          <w:p w14:paraId="7EE6182E" w14:textId="77777777" w:rsidR="0060396E" w:rsidRPr="0060396E" w:rsidRDefault="0060396E" w:rsidP="0060396E">
            <w:pPr>
              <w:spacing w:after="0" w:line="240" w:lineRule="auto"/>
              <w:ind w:firstLine="0"/>
              <w:jc w:val="center"/>
              <w:rPr>
                <w:rFonts w:ascii="Calibri" w:eastAsia="Times New Roman" w:hAnsi="Calibri" w:cs="Calibri"/>
                <w:b/>
                <w:bCs/>
                <w:color w:val="000000"/>
                <w:lang w:eastAsia="es-VE"/>
              </w:rPr>
            </w:pPr>
            <w:r w:rsidRPr="0060396E">
              <w:rPr>
                <w:rFonts w:ascii="Calibri" w:eastAsia="Times New Roman" w:hAnsi="Calibri" w:cs="Calibri"/>
                <w:b/>
                <w:bCs/>
                <w:color w:val="000000"/>
                <w:lang w:eastAsia="es-VE"/>
              </w:rPr>
              <w:t>AUDITORÍA</w:t>
            </w:r>
          </w:p>
        </w:tc>
        <w:tc>
          <w:tcPr>
            <w:tcW w:w="2895" w:type="dxa"/>
            <w:tcBorders>
              <w:top w:val="nil"/>
              <w:left w:val="nil"/>
              <w:bottom w:val="single" w:sz="4" w:space="0" w:color="auto"/>
              <w:right w:val="single" w:sz="4" w:space="0" w:color="auto"/>
            </w:tcBorders>
            <w:shd w:val="clear" w:color="auto" w:fill="auto"/>
            <w:vAlign w:val="center"/>
            <w:hideMark/>
          </w:tcPr>
          <w:p w14:paraId="5C3A9DA9" w14:textId="77777777" w:rsidR="0060396E" w:rsidRPr="0060396E" w:rsidRDefault="0060396E" w:rsidP="0060396E">
            <w:pPr>
              <w:spacing w:after="0" w:line="240" w:lineRule="auto"/>
              <w:ind w:firstLine="0"/>
              <w:jc w:val="center"/>
              <w:rPr>
                <w:rFonts w:ascii="Calibri" w:eastAsia="Times New Roman" w:hAnsi="Calibri" w:cs="Calibri"/>
                <w:color w:val="000000"/>
                <w:lang w:eastAsia="es-VE"/>
              </w:rPr>
            </w:pPr>
            <w:proofErr w:type="spellStart"/>
            <w:r w:rsidRPr="0060396E">
              <w:rPr>
                <w:rFonts w:ascii="Calibri" w:eastAsia="Times New Roman" w:hAnsi="Calibri" w:cs="Calibri"/>
                <w:color w:val="000000"/>
                <w:lang w:eastAsia="es-VE"/>
              </w:rPr>
              <w:t>ID_Transacción</w:t>
            </w:r>
            <w:proofErr w:type="spellEnd"/>
            <w:r w:rsidRPr="0060396E">
              <w:rPr>
                <w:rFonts w:ascii="Calibri" w:eastAsia="Times New Roman" w:hAnsi="Calibri" w:cs="Calibri"/>
                <w:color w:val="000000"/>
                <w:lang w:eastAsia="es-VE"/>
              </w:rPr>
              <w:t xml:space="preserve">, Fecha, </w:t>
            </w:r>
            <w:proofErr w:type="spellStart"/>
            <w:r w:rsidRPr="0060396E">
              <w:rPr>
                <w:rFonts w:ascii="Calibri" w:eastAsia="Times New Roman" w:hAnsi="Calibri" w:cs="Calibri"/>
                <w:color w:val="000000"/>
                <w:lang w:eastAsia="es-VE"/>
              </w:rPr>
              <w:t>Usuario_ID</w:t>
            </w:r>
            <w:proofErr w:type="spellEnd"/>
            <w:r w:rsidRPr="0060396E">
              <w:rPr>
                <w:rFonts w:ascii="Calibri" w:eastAsia="Times New Roman" w:hAnsi="Calibri" w:cs="Calibri"/>
                <w:color w:val="000000"/>
                <w:lang w:eastAsia="es-VE"/>
              </w:rPr>
              <w:t>, Acción.</w:t>
            </w:r>
          </w:p>
        </w:tc>
        <w:tc>
          <w:tcPr>
            <w:tcW w:w="3790" w:type="dxa"/>
            <w:tcBorders>
              <w:top w:val="nil"/>
              <w:left w:val="nil"/>
              <w:bottom w:val="single" w:sz="4" w:space="0" w:color="auto"/>
              <w:right w:val="single" w:sz="4" w:space="0" w:color="auto"/>
            </w:tcBorders>
            <w:shd w:val="clear" w:color="auto" w:fill="auto"/>
            <w:vAlign w:val="center"/>
            <w:hideMark/>
          </w:tcPr>
          <w:p w14:paraId="4FBF4D76" w14:textId="77777777" w:rsidR="0060396E" w:rsidRPr="0060396E" w:rsidRDefault="0060396E" w:rsidP="0060396E">
            <w:pPr>
              <w:spacing w:after="0" w:line="240" w:lineRule="auto"/>
              <w:ind w:firstLine="0"/>
              <w:jc w:val="center"/>
              <w:rPr>
                <w:rFonts w:ascii="Calibri" w:eastAsia="Times New Roman" w:hAnsi="Calibri" w:cs="Calibri"/>
                <w:color w:val="000000"/>
                <w:lang w:eastAsia="es-VE"/>
              </w:rPr>
            </w:pPr>
            <w:r w:rsidRPr="0060396E">
              <w:rPr>
                <w:rFonts w:ascii="Calibri" w:eastAsia="Times New Roman" w:hAnsi="Calibri" w:cs="Calibri"/>
                <w:color w:val="000000"/>
                <w:lang w:eastAsia="es-VE"/>
              </w:rPr>
              <w:t>(Invisible al usuario) Garantiza la inmutabilidad de los registros.</w:t>
            </w:r>
          </w:p>
        </w:tc>
      </w:tr>
    </w:tbl>
    <w:p w14:paraId="7B723141" w14:textId="700E1141" w:rsidR="0060396E" w:rsidRDefault="0060396E" w:rsidP="0060396E">
      <w:pPr>
        <w:jc w:val="center"/>
        <w:rPr>
          <w:rFonts w:ascii="Arial" w:hAnsi="Arial" w:cs="Arial"/>
          <w:lang w:val="es-ES"/>
        </w:rPr>
      </w:pPr>
      <w:r>
        <w:rPr>
          <w:rFonts w:ascii="Arial" w:hAnsi="Arial" w:cs="Arial"/>
          <w:lang w:val="es-ES"/>
        </w:rPr>
        <w:br w:type="textWrapping" w:clear="all"/>
      </w:r>
    </w:p>
    <w:p w14:paraId="4D861871" w14:textId="306DBFDA" w:rsidR="0060396E" w:rsidRPr="0060396E" w:rsidRDefault="0060396E" w:rsidP="00AE2FD5">
      <w:pPr>
        <w:jc w:val="center"/>
        <w:rPr>
          <w:rFonts w:ascii="Arial" w:hAnsi="Arial" w:cs="Arial"/>
          <w:lang w:val="es-ES"/>
        </w:rPr>
      </w:pPr>
      <w:r w:rsidRPr="0060396E">
        <w:rPr>
          <w:rFonts w:ascii="Arial" w:hAnsi="Arial" w:cs="Arial"/>
          <w:lang w:val="es-ES"/>
        </w:rPr>
        <w:lastRenderedPageBreak/>
        <w:t>Diagrama De Estados: Ciclo De Vida Del Ticket</w:t>
      </w:r>
    </w:p>
    <w:p w14:paraId="2D9EB8C3" w14:textId="7D65E290" w:rsidR="00624429" w:rsidRDefault="0060396E" w:rsidP="0060396E">
      <w:pPr>
        <w:jc w:val="both"/>
        <w:rPr>
          <w:rFonts w:ascii="Arial" w:hAnsi="Arial" w:cs="Arial"/>
          <w:lang w:val="es-ES"/>
        </w:rPr>
      </w:pPr>
      <w:r w:rsidRPr="0060396E">
        <w:rPr>
          <w:rFonts w:ascii="Arial" w:hAnsi="Arial" w:cs="Arial"/>
          <w:lang w:val="es-ES"/>
        </w:rPr>
        <w:t>Este diagrama describe las transiciones lógicas por las que atraviesa una solicitud de soporte dentro del sistema INN-INVENTARIO, garantizando que se cumplan las reglas de negocio y la trazabilidad técnica.</w:t>
      </w:r>
    </w:p>
    <w:p w14:paraId="2BCDA400" w14:textId="77777777" w:rsidR="00AE2FD5" w:rsidRPr="00AE2FD5" w:rsidRDefault="00AE2FD5" w:rsidP="00AE2FD5">
      <w:pPr>
        <w:pStyle w:val="HTMLconformatoprevio"/>
        <w:spacing w:line="360" w:lineRule="auto"/>
        <w:rPr>
          <w:rStyle w:val="CdigoHTML"/>
          <w:sz w:val="22"/>
          <w:szCs w:val="22"/>
        </w:rPr>
      </w:pPr>
      <w:r w:rsidRPr="00AE2FD5">
        <w:rPr>
          <w:rStyle w:val="CdigoHTML"/>
          <w:sz w:val="22"/>
          <w:szCs w:val="22"/>
        </w:rPr>
        <w:t>[*] --&gt; ABIERTO : Usuario reporta falla</w:t>
      </w:r>
    </w:p>
    <w:p w14:paraId="0B1970B1" w14:textId="77777777" w:rsidR="00AE2FD5" w:rsidRPr="00AE2FD5" w:rsidRDefault="00AE2FD5" w:rsidP="00AE2FD5">
      <w:pPr>
        <w:pStyle w:val="HTMLconformatoprevio"/>
        <w:spacing w:line="360" w:lineRule="auto"/>
        <w:rPr>
          <w:rStyle w:val="CdigoHTML"/>
          <w:sz w:val="22"/>
          <w:szCs w:val="22"/>
        </w:rPr>
      </w:pPr>
      <w:r w:rsidRPr="00AE2FD5">
        <w:rPr>
          <w:rStyle w:val="CdigoHTML"/>
          <w:sz w:val="22"/>
          <w:szCs w:val="22"/>
        </w:rPr>
        <w:t>ABIERTO --&gt; ASIGNADO : Supervisor asigna técnico</w:t>
      </w:r>
    </w:p>
    <w:p w14:paraId="6A04DDDC" w14:textId="77777777" w:rsidR="00AE2FD5" w:rsidRPr="00AE2FD5" w:rsidRDefault="00AE2FD5" w:rsidP="00AE2FD5">
      <w:pPr>
        <w:pStyle w:val="HTMLconformatoprevio"/>
        <w:spacing w:line="360" w:lineRule="auto"/>
        <w:rPr>
          <w:rStyle w:val="CdigoHTML"/>
          <w:sz w:val="22"/>
          <w:szCs w:val="22"/>
        </w:rPr>
      </w:pPr>
      <w:r w:rsidRPr="00AE2FD5">
        <w:rPr>
          <w:rStyle w:val="CdigoHTML"/>
          <w:sz w:val="22"/>
          <w:szCs w:val="22"/>
        </w:rPr>
        <w:t>ASIGNADO --&gt; EN_PROCESO : Técnico inicia labores</w:t>
      </w:r>
    </w:p>
    <w:p w14:paraId="57C03D87" w14:textId="77777777" w:rsidR="00AE2FD5" w:rsidRPr="00AE2FD5" w:rsidRDefault="00AE2FD5" w:rsidP="00AE2FD5">
      <w:pPr>
        <w:pStyle w:val="HTMLconformatoprevio"/>
        <w:spacing w:line="360" w:lineRule="auto"/>
        <w:rPr>
          <w:rStyle w:val="CdigoHTML"/>
          <w:sz w:val="22"/>
          <w:szCs w:val="22"/>
        </w:rPr>
      </w:pPr>
      <w:r w:rsidRPr="00AE2FD5">
        <w:rPr>
          <w:rStyle w:val="CdigoHTML"/>
          <w:sz w:val="22"/>
          <w:szCs w:val="22"/>
        </w:rPr>
        <w:t>EN_PROCESO --&gt; PENDIENTE : Falta repuesto/insumo</w:t>
      </w:r>
    </w:p>
    <w:p w14:paraId="05054082" w14:textId="77777777" w:rsidR="00AE2FD5" w:rsidRPr="00AE2FD5" w:rsidRDefault="00AE2FD5" w:rsidP="00AE2FD5">
      <w:pPr>
        <w:pStyle w:val="HTMLconformatoprevio"/>
        <w:spacing w:line="360" w:lineRule="auto"/>
        <w:rPr>
          <w:rStyle w:val="CdigoHTML"/>
          <w:sz w:val="22"/>
          <w:szCs w:val="22"/>
        </w:rPr>
      </w:pPr>
      <w:r w:rsidRPr="00AE2FD5">
        <w:rPr>
          <w:rStyle w:val="CdigoHTML"/>
          <w:sz w:val="22"/>
          <w:szCs w:val="22"/>
        </w:rPr>
        <w:t>PENDIENTE --&gt; EN_PROCESO : Insumo recibido</w:t>
      </w:r>
    </w:p>
    <w:p w14:paraId="3588743F" w14:textId="77777777" w:rsidR="00AE2FD5" w:rsidRPr="00AE2FD5" w:rsidRDefault="00AE2FD5" w:rsidP="00AE2FD5">
      <w:pPr>
        <w:pStyle w:val="HTMLconformatoprevio"/>
        <w:spacing w:line="360" w:lineRule="auto"/>
        <w:rPr>
          <w:rStyle w:val="CdigoHTML"/>
          <w:sz w:val="22"/>
          <w:szCs w:val="22"/>
        </w:rPr>
      </w:pPr>
      <w:r w:rsidRPr="00AE2FD5">
        <w:rPr>
          <w:rStyle w:val="CdigoHTML"/>
          <w:sz w:val="22"/>
          <w:szCs w:val="22"/>
        </w:rPr>
        <w:t>EN_PROCESO --&gt; RESUELTO : Técnico registra solución</w:t>
      </w:r>
    </w:p>
    <w:p w14:paraId="4EE0777E" w14:textId="77777777" w:rsidR="00AE2FD5" w:rsidRPr="00AE2FD5" w:rsidRDefault="00AE2FD5" w:rsidP="00AE2FD5">
      <w:pPr>
        <w:pStyle w:val="HTMLconformatoprevio"/>
        <w:spacing w:line="360" w:lineRule="auto"/>
        <w:rPr>
          <w:rStyle w:val="CdigoHTML"/>
          <w:sz w:val="22"/>
          <w:szCs w:val="22"/>
        </w:rPr>
      </w:pPr>
      <w:r w:rsidRPr="00AE2FD5">
        <w:rPr>
          <w:rStyle w:val="CdigoHTML"/>
          <w:sz w:val="22"/>
          <w:szCs w:val="22"/>
        </w:rPr>
        <w:t>RESUELTO --&gt; CERRADO : Usuario/Admin confirma</w:t>
      </w:r>
    </w:p>
    <w:p w14:paraId="1454F81D" w14:textId="77777777" w:rsidR="00AE2FD5" w:rsidRPr="00AE2FD5" w:rsidRDefault="00AE2FD5" w:rsidP="00AE2FD5">
      <w:pPr>
        <w:pStyle w:val="HTMLconformatoprevio"/>
        <w:spacing w:line="360" w:lineRule="auto"/>
        <w:rPr>
          <w:rStyle w:val="CdigoHTML"/>
          <w:sz w:val="22"/>
          <w:szCs w:val="22"/>
        </w:rPr>
      </w:pPr>
      <w:r w:rsidRPr="00AE2FD5">
        <w:rPr>
          <w:rStyle w:val="CdigoHTML"/>
          <w:sz w:val="22"/>
          <w:szCs w:val="22"/>
        </w:rPr>
        <w:t>CERRADO --&gt; [*]</w:t>
      </w:r>
    </w:p>
    <w:p w14:paraId="211CCCD9" w14:textId="46DC27CA" w:rsidR="00AE2FD5" w:rsidRDefault="00AE2FD5" w:rsidP="0060396E">
      <w:pPr>
        <w:jc w:val="both"/>
        <w:rPr>
          <w:rFonts w:ascii="Arial" w:hAnsi="Arial" w:cs="Arial"/>
          <w:lang w:val="es-ES"/>
        </w:rPr>
      </w:pPr>
    </w:p>
    <w:p w14:paraId="37DD222A" w14:textId="77C336F5" w:rsidR="00AE2FD5" w:rsidRDefault="00AE2FD5" w:rsidP="0060396E">
      <w:pPr>
        <w:jc w:val="both"/>
        <w:rPr>
          <w:rFonts w:ascii="Arial" w:hAnsi="Arial" w:cs="Arial"/>
          <w:lang w:val="es-ES"/>
        </w:rPr>
      </w:pPr>
      <w:r w:rsidRPr="00AE2FD5">
        <w:rPr>
          <w:rFonts w:ascii="Arial" w:hAnsi="Arial" w:cs="Arial"/>
          <w:lang w:val="es-ES"/>
        </w:rPr>
        <w:t>El diagrama sigue un flujo lineal con una bifurcación para casos donde la reparación depende de factores externos como repuestos</w:t>
      </w:r>
      <w:r>
        <w:rPr>
          <w:rFonts w:ascii="Arial" w:hAnsi="Arial" w:cs="Arial"/>
          <w:lang w:val="es-ES"/>
        </w:rPr>
        <w:t>.</w:t>
      </w:r>
    </w:p>
    <w:tbl>
      <w:tblPr>
        <w:tblpPr w:leftFromText="141" w:rightFromText="141" w:vertAnchor="text" w:tblpY="1"/>
        <w:tblOverlap w:val="never"/>
        <w:tblW w:w="9430" w:type="dxa"/>
        <w:tblCellMar>
          <w:left w:w="70" w:type="dxa"/>
          <w:right w:w="70" w:type="dxa"/>
        </w:tblCellMar>
        <w:tblLook w:val="04A0" w:firstRow="1" w:lastRow="0" w:firstColumn="1" w:lastColumn="0" w:noHBand="0" w:noVBand="1"/>
      </w:tblPr>
      <w:tblGrid>
        <w:gridCol w:w="2606"/>
        <w:gridCol w:w="2955"/>
        <w:gridCol w:w="3869"/>
      </w:tblGrid>
      <w:tr w:rsidR="00AE2FD5" w:rsidRPr="00AE2FD5" w14:paraId="6F84F987" w14:textId="77777777" w:rsidTr="00AE2FD5">
        <w:trPr>
          <w:trHeight w:val="271"/>
        </w:trPr>
        <w:tc>
          <w:tcPr>
            <w:tcW w:w="26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97078"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Estado</w:t>
            </w:r>
          </w:p>
        </w:tc>
        <w:tc>
          <w:tcPr>
            <w:tcW w:w="2955" w:type="dxa"/>
            <w:tcBorders>
              <w:top w:val="single" w:sz="4" w:space="0" w:color="auto"/>
              <w:left w:val="nil"/>
              <w:bottom w:val="single" w:sz="4" w:space="0" w:color="auto"/>
              <w:right w:val="single" w:sz="4" w:space="0" w:color="auto"/>
            </w:tcBorders>
            <w:shd w:val="clear" w:color="auto" w:fill="auto"/>
            <w:vAlign w:val="center"/>
            <w:hideMark/>
          </w:tcPr>
          <w:p w14:paraId="5D2C8CA0"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Descripción Técnica</w:t>
            </w:r>
          </w:p>
        </w:tc>
        <w:tc>
          <w:tcPr>
            <w:tcW w:w="3869" w:type="dxa"/>
            <w:tcBorders>
              <w:top w:val="single" w:sz="4" w:space="0" w:color="auto"/>
              <w:left w:val="nil"/>
              <w:bottom w:val="single" w:sz="4" w:space="0" w:color="auto"/>
              <w:right w:val="single" w:sz="4" w:space="0" w:color="auto"/>
            </w:tcBorders>
            <w:shd w:val="clear" w:color="auto" w:fill="auto"/>
            <w:vAlign w:val="center"/>
            <w:hideMark/>
          </w:tcPr>
          <w:p w14:paraId="111BB895"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Evento de Disparo (</w:t>
            </w:r>
            <w:proofErr w:type="spellStart"/>
            <w:r w:rsidRPr="00AE2FD5">
              <w:rPr>
                <w:rFonts w:ascii="Arial" w:eastAsia="Times New Roman" w:hAnsi="Arial" w:cs="Arial"/>
                <w:color w:val="000000"/>
                <w:lang w:eastAsia="es-VE"/>
              </w:rPr>
              <w:t>Trigger</w:t>
            </w:r>
            <w:proofErr w:type="spellEnd"/>
            <w:r w:rsidRPr="00AE2FD5">
              <w:rPr>
                <w:rFonts w:ascii="Arial" w:eastAsia="Times New Roman" w:hAnsi="Arial" w:cs="Arial"/>
                <w:color w:val="000000"/>
                <w:lang w:eastAsia="es-VE"/>
              </w:rPr>
              <w:t>)</w:t>
            </w:r>
          </w:p>
        </w:tc>
      </w:tr>
      <w:tr w:rsidR="00AE2FD5" w:rsidRPr="00AE2FD5" w14:paraId="60094EE9" w14:textId="77777777" w:rsidTr="00AE2FD5">
        <w:trPr>
          <w:trHeight w:val="520"/>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5B65A23B"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ABIERTO</w:t>
            </w:r>
          </w:p>
        </w:tc>
        <w:tc>
          <w:tcPr>
            <w:tcW w:w="2955" w:type="dxa"/>
            <w:tcBorders>
              <w:top w:val="nil"/>
              <w:left w:val="nil"/>
              <w:bottom w:val="single" w:sz="4" w:space="0" w:color="auto"/>
              <w:right w:val="single" w:sz="4" w:space="0" w:color="auto"/>
            </w:tcBorders>
            <w:shd w:val="clear" w:color="auto" w:fill="auto"/>
            <w:vAlign w:val="center"/>
            <w:hideMark/>
          </w:tcPr>
          <w:p w14:paraId="650DAABE"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El ticket es creado en la BD.</w:t>
            </w:r>
          </w:p>
        </w:tc>
        <w:tc>
          <w:tcPr>
            <w:tcW w:w="3869" w:type="dxa"/>
            <w:tcBorders>
              <w:top w:val="nil"/>
              <w:left w:val="nil"/>
              <w:bottom w:val="single" w:sz="4" w:space="0" w:color="auto"/>
              <w:right w:val="single" w:sz="4" w:space="0" w:color="auto"/>
            </w:tcBorders>
            <w:shd w:val="clear" w:color="auto" w:fill="auto"/>
            <w:vAlign w:val="center"/>
            <w:hideMark/>
          </w:tcPr>
          <w:p w14:paraId="585C17C9"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 xml:space="preserve">Registro inicial en el módulo de </w:t>
            </w:r>
            <w:proofErr w:type="spellStart"/>
            <w:r w:rsidRPr="00AE2FD5">
              <w:rPr>
                <w:rFonts w:ascii="Arial" w:eastAsia="Times New Roman" w:hAnsi="Arial" w:cs="Arial"/>
                <w:color w:val="000000"/>
                <w:lang w:eastAsia="es-VE"/>
              </w:rPr>
              <w:t>Help</w:t>
            </w:r>
            <w:proofErr w:type="spellEnd"/>
            <w:r w:rsidRPr="00AE2FD5">
              <w:rPr>
                <w:rFonts w:ascii="Arial" w:eastAsia="Times New Roman" w:hAnsi="Arial" w:cs="Arial"/>
                <w:color w:val="000000"/>
                <w:lang w:eastAsia="es-VE"/>
              </w:rPr>
              <w:t xml:space="preserve"> </w:t>
            </w:r>
            <w:proofErr w:type="spellStart"/>
            <w:r w:rsidRPr="00AE2FD5">
              <w:rPr>
                <w:rFonts w:ascii="Arial" w:eastAsia="Times New Roman" w:hAnsi="Arial" w:cs="Arial"/>
                <w:color w:val="000000"/>
                <w:lang w:eastAsia="es-VE"/>
              </w:rPr>
              <w:t>Desk</w:t>
            </w:r>
            <w:proofErr w:type="spellEnd"/>
            <w:r w:rsidRPr="00AE2FD5">
              <w:rPr>
                <w:rFonts w:ascii="Arial" w:eastAsia="Times New Roman" w:hAnsi="Arial" w:cs="Arial"/>
                <w:color w:val="000000"/>
                <w:lang w:eastAsia="es-VE"/>
              </w:rPr>
              <w:t>.</w:t>
            </w:r>
          </w:p>
        </w:tc>
      </w:tr>
      <w:tr w:rsidR="00AE2FD5" w:rsidRPr="00AE2FD5" w14:paraId="1CB7C2F5" w14:textId="77777777" w:rsidTr="00AE2FD5">
        <w:trPr>
          <w:trHeight w:val="780"/>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60253921"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ASIGNADO</w:t>
            </w:r>
          </w:p>
        </w:tc>
        <w:tc>
          <w:tcPr>
            <w:tcW w:w="2955" w:type="dxa"/>
            <w:tcBorders>
              <w:top w:val="nil"/>
              <w:left w:val="nil"/>
              <w:bottom w:val="single" w:sz="4" w:space="0" w:color="auto"/>
              <w:right w:val="single" w:sz="4" w:space="0" w:color="auto"/>
            </w:tcBorders>
            <w:shd w:val="clear" w:color="auto" w:fill="auto"/>
            <w:vAlign w:val="center"/>
            <w:hideMark/>
          </w:tcPr>
          <w:p w14:paraId="0F0D83D4"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Se vincula un id_tecnico al ticket.</w:t>
            </w:r>
          </w:p>
        </w:tc>
        <w:tc>
          <w:tcPr>
            <w:tcW w:w="3869" w:type="dxa"/>
            <w:tcBorders>
              <w:top w:val="nil"/>
              <w:left w:val="nil"/>
              <w:bottom w:val="single" w:sz="4" w:space="0" w:color="auto"/>
              <w:right w:val="single" w:sz="4" w:space="0" w:color="auto"/>
            </w:tcBorders>
            <w:shd w:val="clear" w:color="auto" w:fill="auto"/>
            <w:vAlign w:val="center"/>
            <w:hideMark/>
          </w:tcPr>
          <w:p w14:paraId="14871184"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Acción manual del supervisor en el panel de control.</w:t>
            </w:r>
          </w:p>
        </w:tc>
      </w:tr>
      <w:tr w:rsidR="00AE2FD5" w:rsidRPr="00AE2FD5" w14:paraId="3632E321" w14:textId="77777777" w:rsidTr="00AE2FD5">
        <w:trPr>
          <w:trHeight w:val="780"/>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50BEE7DA"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EN PROCESO</w:t>
            </w:r>
          </w:p>
        </w:tc>
        <w:tc>
          <w:tcPr>
            <w:tcW w:w="2955" w:type="dxa"/>
            <w:tcBorders>
              <w:top w:val="nil"/>
              <w:left w:val="nil"/>
              <w:bottom w:val="single" w:sz="4" w:space="0" w:color="auto"/>
              <w:right w:val="single" w:sz="4" w:space="0" w:color="auto"/>
            </w:tcBorders>
            <w:shd w:val="clear" w:color="auto" w:fill="auto"/>
            <w:vAlign w:val="center"/>
            <w:hideMark/>
          </w:tcPr>
          <w:p w14:paraId="46D16E89"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El técnico está interviniendo el activo.</w:t>
            </w:r>
          </w:p>
        </w:tc>
        <w:tc>
          <w:tcPr>
            <w:tcW w:w="3869" w:type="dxa"/>
            <w:tcBorders>
              <w:top w:val="nil"/>
              <w:left w:val="nil"/>
              <w:bottom w:val="single" w:sz="4" w:space="0" w:color="auto"/>
              <w:right w:val="single" w:sz="4" w:space="0" w:color="auto"/>
            </w:tcBorders>
            <w:shd w:val="clear" w:color="auto" w:fill="auto"/>
            <w:vAlign w:val="center"/>
            <w:hideMark/>
          </w:tcPr>
          <w:p w14:paraId="6B8A5D87"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El técnico cambia el estatus para indicar actividad.</w:t>
            </w:r>
          </w:p>
        </w:tc>
      </w:tr>
      <w:tr w:rsidR="00AE2FD5" w:rsidRPr="00AE2FD5" w14:paraId="07A8963E" w14:textId="77777777" w:rsidTr="00AE2FD5">
        <w:trPr>
          <w:trHeight w:val="780"/>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59402FCB"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PENDIENTE</w:t>
            </w:r>
          </w:p>
        </w:tc>
        <w:tc>
          <w:tcPr>
            <w:tcW w:w="2955" w:type="dxa"/>
            <w:tcBorders>
              <w:top w:val="nil"/>
              <w:left w:val="nil"/>
              <w:bottom w:val="single" w:sz="4" w:space="0" w:color="auto"/>
              <w:right w:val="single" w:sz="4" w:space="0" w:color="auto"/>
            </w:tcBorders>
            <w:shd w:val="clear" w:color="auto" w:fill="auto"/>
            <w:vAlign w:val="center"/>
            <w:hideMark/>
          </w:tcPr>
          <w:p w14:paraId="0E76718A"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Pausa operativa por falta de recursos.</w:t>
            </w:r>
          </w:p>
        </w:tc>
        <w:tc>
          <w:tcPr>
            <w:tcW w:w="3869" w:type="dxa"/>
            <w:tcBorders>
              <w:top w:val="nil"/>
              <w:left w:val="nil"/>
              <w:bottom w:val="single" w:sz="4" w:space="0" w:color="auto"/>
              <w:right w:val="single" w:sz="4" w:space="0" w:color="auto"/>
            </w:tcBorders>
            <w:shd w:val="clear" w:color="auto" w:fill="auto"/>
            <w:vAlign w:val="center"/>
            <w:hideMark/>
          </w:tcPr>
          <w:p w14:paraId="70EE7919"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Registro de observación técnica (ej. falta conector RJ45).</w:t>
            </w:r>
          </w:p>
        </w:tc>
      </w:tr>
      <w:tr w:rsidR="00AE2FD5" w:rsidRPr="00AE2FD5" w14:paraId="6BE022BB" w14:textId="77777777" w:rsidTr="00AE2FD5">
        <w:trPr>
          <w:trHeight w:val="780"/>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69987A33"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RESUELTO</w:t>
            </w:r>
          </w:p>
        </w:tc>
        <w:tc>
          <w:tcPr>
            <w:tcW w:w="2955" w:type="dxa"/>
            <w:tcBorders>
              <w:top w:val="nil"/>
              <w:left w:val="nil"/>
              <w:bottom w:val="single" w:sz="4" w:space="0" w:color="auto"/>
              <w:right w:val="single" w:sz="4" w:space="0" w:color="auto"/>
            </w:tcBorders>
            <w:shd w:val="clear" w:color="auto" w:fill="auto"/>
            <w:vAlign w:val="center"/>
            <w:hideMark/>
          </w:tcPr>
          <w:p w14:paraId="1994E0C7"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La falla ha sido corregida físicamente.</w:t>
            </w:r>
          </w:p>
        </w:tc>
        <w:tc>
          <w:tcPr>
            <w:tcW w:w="3869" w:type="dxa"/>
            <w:tcBorders>
              <w:top w:val="nil"/>
              <w:left w:val="nil"/>
              <w:bottom w:val="single" w:sz="4" w:space="0" w:color="auto"/>
              <w:right w:val="single" w:sz="4" w:space="0" w:color="auto"/>
            </w:tcBorders>
            <w:shd w:val="clear" w:color="auto" w:fill="auto"/>
            <w:vAlign w:val="center"/>
            <w:hideMark/>
          </w:tcPr>
          <w:p w14:paraId="7F7FFB7F"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Carga obligatoria de la descripción técnica (BR-02).</w:t>
            </w:r>
          </w:p>
        </w:tc>
      </w:tr>
      <w:tr w:rsidR="00AE2FD5" w:rsidRPr="00AE2FD5" w14:paraId="76848D24" w14:textId="77777777" w:rsidTr="00AE2FD5">
        <w:trPr>
          <w:trHeight w:val="520"/>
        </w:trPr>
        <w:tc>
          <w:tcPr>
            <w:tcW w:w="2606" w:type="dxa"/>
            <w:tcBorders>
              <w:top w:val="nil"/>
              <w:left w:val="single" w:sz="4" w:space="0" w:color="auto"/>
              <w:bottom w:val="single" w:sz="4" w:space="0" w:color="auto"/>
              <w:right w:val="single" w:sz="4" w:space="0" w:color="auto"/>
            </w:tcBorders>
            <w:shd w:val="clear" w:color="auto" w:fill="auto"/>
            <w:vAlign w:val="center"/>
            <w:hideMark/>
          </w:tcPr>
          <w:p w14:paraId="10A159D8"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CERRADO</w:t>
            </w:r>
          </w:p>
        </w:tc>
        <w:tc>
          <w:tcPr>
            <w:tcW w:w="2955" w:type="dxa"/>
            <w:tcBorders>
              <w:top w:val="nil"/>
              <w:left w:val="nil"/>
              <w:bottom w:val="single" w:sz="4" w:space="0" w:color="auto"/>
              <w:right w:val="single" w:sz="4" w:space="0" w:color="auto"/>
            </w:tcBorders>
            <w:shd w:val="clear" w:color="auto" w:fill="auto"/>
            <w:vAlign w:val="center"/>
            <w:hideMark/>
          </w:tcPr>
          <w:p w14:paraId="19007B54"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El ticket se archiva para el histórico.</w:t>
            </w:r>
          </w:p>
        </w:tc>
        <w:tc>
          <w:tcPr>
            <w:tcW w:w="3869" w:type="dxa"/>
            <w:tcBorders>
              <w:top w:val="nil"/>
              <w:left w:val="nil"/>
              <w:bottom w:val="single" w:sz="4" w:space="0" w:color="auto"/>
              <w:right w:val="single" w:sz="4" w:space="0" w:color="auto"/>
            </w:tcBorders>
            <w:shd w:val="clear" w:color="auto" w:fill="auto"/>
            <w:vAlign w:val="center"/>
            <w:hideMark/>
          </w:tcPr>
          <w:p w14:paraId="42880069" w14:textId="77777777" w:rsidR="00AE2FD5" w:rsidRPr="00AE2FD5" w:rsidRDefault="00AE2FD5" w:rsidP="00AE2FD5">
            <w:pPr>
              <w:spacing w:after="0" w:line="240" w:lineRule="auto"/>
              <w:ind w:firstLine="0"/>
              <w:jc w:val="center"/>
              <w:rPr>
                <w:rFonts w:ascii="Arial" w:eastAsia="Times New Roman" w:hAnsi="Arial" w:cs="Arial"/>
                <w:color w:val="000000"/>
                <w:lang w:eastAsia="es-VE"/>
              </w:rPr>
            </w:pPr>
            <w:r w:rsidRPr="00AE2FD5">
              <w:rPr>
                <w:rFonts w:ascii="Arial" w:eastAsia="Times New Roman" w:hAnsi="Arial" w:cs="Arial"/>
                <w:color w:val="000000"/>
                <w:lang w:eastAsia="es-VE"/>
              </w:rPr>
              <w:t>Validación final de calidad y satisfacción.</w:t>
            </w:r>
          </w:p>
        </w:tc>
      </w:tr>
    </w:tbl>
    <w:p w14:paraId="1604819F" w14:textId="06755A27" w:rsidR="00AE2FD5" w:rsidRDefault="00AE2FD5" w:rsidP="00EE1C1F">
      <w:pPr>
        <w:ind w:firstLine="0"/>
        <w:jc w:val="both"/>
        <w:rPr>
          <w:rFonts w:ascii="Arial" w:hAnsi="Arial" w:cs="Arial"/>
          <w:lang w:val="es-ES"/>
        </w:rPr>
      </w:pPr>
    </w:p>
    <w:p w14:paraId="7CEE6545" w14:textId="77777777" w:rsidR="00624429" w:rsidRPr="007A27ED" w:rsidRDefault="00624429" w:rsidP="00624429">
      <w:pPr>
        <w:jc w:val="both"/>
        <w:rPr>
          <w:rFonts w:ascii="Arial" w:hAnsi="Arial" w:cs="Arial"/>
          <w:lang w:val="es-ES"/>
        </w:rPr>
      </w:pPr>
    </w:p>
    <w:p w14:paraId="204E8C05" w14:textId="181605CD" w:rsidR="00AC0A55" w:rsidRPr="00AC0A55" w:rsidRDefault="00AC0A55" w:rsidP="00AC0A55">
      <w:pPr>
        <w:ind w:firstLine="708"/>
        <w:jc w:val="both"/>
        <w:rPr>
          <w:rFonts w:ascii="Arial" w:hAnsi="Arial" w:cs="Arial"/>
          <w:lang w:val="es-ES"/>
        </w:rPr>
      </w:pPr>
      <w:r w:rsidRPr="00AC0A55">
        <w:rPr>
          <w:rFonts w:ascii="Arial" w:hAnsi="Arial" w:cs="Arial"/>
          <w:lang w:val="es-ES"/>
        </w:rPr>
        <w:lastRenderedPageBreak/>
        <w:t xml:space="preserve">Al presentar este diagrama, </w:t>
      </w:r>
      <w:proofErr w:type="gramStart"/>
      <w:r>
        <w:rPr>
          <w:rFonts w:ascii="Arial" w:hAnsi="Arial" w:cs="Arial"/>
          <w:lang w:val="es-ES"/>
        </w:rPr>
        <w:t>resaltamos</w:t>
      </w:r>
      <w:r w:rsidRPr="00AC0A55">
        <w:rPr>
          <w:rFonts w:ascii="Arial" w:hAnsi="Arial" w:cs="Arial"/>
          <w:lang w:val="es-ES"/>
        </w:rPr>
        <w:t xml:space="preserve">  puntos</w:t>
      </w:r>
      <w:proofErr w:type="gramEnd"/>
      <w:r w:rsidRPr="00AC0A55">
        <w:rPr>
          <w:rFonts w:ascii="Arial" w:hAnsi="Arial" w:cs="Arial"/>
          <w:lang w:val="es-ES"/>
        </w:rPr>
        <w:t xml:space="preserve"> que validan la calidad del software:</w:t>
      </w:r>
    </w:p>
    <w:p w14:paraId="005E5B23" w14:textId="77777777" w:rsidR="00AC0A55" w:rsidRPr="00AC0A55" w:rsidRDefault="00AC0A55" w:rsidP="00AC0A55">
      <w:pPr>
        <w:ind w:firstLine="708"/>
        <w:jc w:val="both"/>
        <w:rPr>
          <w:rFonts w:ascii="Arial" w:hAnsi="Arial" w:cs="Arial"/>
          <w:lang w:val="es-ES"/>
        </w:rPr>
      </w:pPr>
      <w:r w:rsidRPr="00AC0A55">
        <w:rPr>
          <w:rFonts w:ascii="Arial" w:hAnsi="Arial" w:cs="Arial"/>
          <w:lang w:val="es-ES"/>
        </w:rPr>
        <w:t xml:space="preserve">Validación de Reglas de Negocio (BR-02): El paso de EN PROCESO </w:t>
      </w:r>
      <w:proofErr w:type="spellStart"/>
      <w:r w:rsidRPr="00AC0A55">
        <w:rPr>
          <w:rFonts w:ascii="Arial" w:hAnsi="Arial" w:cs="Arial"/>
          <w:lang w:val="es-ES"/>
        </w:rPr>
        <w:t>a</w:t>
      </w:r>
      <w:proofErr w:type="spellEnd"/>
      <w:r w:rsidRPr="00AC0A55">
        <w:rPr>
          <w:rFonts w:ascii="Arial" w:hAnsi="Arial" w:cs="Arial"/>
          <w:lang w:val="es-ES"/>
        </w:rPr>
        <w:t xml:space="preserve"> RESUELTO está condicionado por código. El sistema valida que el campo "Descripción de la Solución" no esté vacío, impidiendo cierres de tickets sin sustento técnico.</w:t>
      </w:r>
    </w:p>
    <w:p w14:paraId="6FD5887C" w14:textId="77777777" w:rsidR="00AC0A55" w:rsidRPr="00AC0A55" w:rsidRDefault="00AC0A55" w:rsidP="00AC0A55">
      <w:pPr>
        <w:ind w:firstLine="708"/>
        <w:jc w:val="both"/>
        <w:rPr>
          <w:rFonts w:ascii="Arial" w:hAnsi="Arial" w:cs="Arial"/>
          <w:lang w:val="es-ES"/>
        </w:rPr>
      </w:pPr>
      <w:r w:rsidRPr="00AC0A55">
        <w:rPr>
          <w:rFonts w:ascii="Arial" w:hAnsi="Arial" w:cs="Arial"/>
          <w:lang w:val="es-ES"/>
        </w:rPr>
        <w:t>Cálculo de SLA (</w:t>
      </w:r>
      <w:proofErr w:type="spellStart"/>
      <w:r w:rsidRPr="00AC0A55">
        <w:rPr>
          <w:rFonts w:ascii="Arial" w:hAnsi="Arial" w:cs="Arial"/>
          <w:lang w:val="es-ES"/>
        </w:rPr>
        <w:t>Service</w:t>
      </w:r>
      <w:proofErr w:type="spellEnd"/>
      <w:r w:rsidRPr="00AC0A55">
        <w:rPr>
          <w:rFonts w:ascii="Arial" w:hAnsi="Arial" w:cs="Arial"/>
          <w:lang w:val="es-ES"/>
        </w:rPr>
        <w:t xml:space="preserve"> </w:t>
      </w:r>
      <w:proofErr w:type="spellStart"/>
      <w:r w:rsidRPr="00AC0A55">
        <w:rPr>
          <w:rFonts w:ascii="Arial" w:hAnsi="Arial" w:cs="Arial"/>
          <w:lang w:val="es-ES"/>
        </w:rPr>
        <w:t>Level</w:t>
      </w:r>
      <w:proofErr w:type="spellEnd"/>
      <w:r w:rsidRPr="00AC0A55">
        <w:rPr>
          <w:rFonts w:ascii="Arial" w:hAnsi="Arial" w:cs="Arial"/>
          <w:lang w:val="es-ES"/>
        </w:rPr>
        <w:t xml:space="preserve"> </w:t>
      </w:r>
      <w:proofErr w:type="spellStart"/>
      <w:r w:rsidRPr="00AC0A55">
        <w:rPr>
          <w:rFonts w:ascii="Arial" w:hAnsi="Arial" w:cs="Arial"/>
          <w:lang w:val="es-ES"/>
        </w:rPr>
        <w:t>Agreement</w:t>
      </w:r>
      <w:proofErr w:type="spellEnd"/>
      <w:r w:rsidRPr="00AC0A55">
        <w:rPr>
          <w:rFonts w:ascii="Arial" w:hAnsi="Arial" w:cs="Arial"/>
          <w:lang w:val="es-ES"/>
        </w:rPr>
        <w:t>): Al tener estados definidos, el software puede calcular cuánto tiempo pasó el ticket en cada fase. Esto permite identificar cuellos de botella (por ejemplo, si los tickets pasan demasiado tiempo en estado "Asignado" pero no inician).</w:t>
      </w:r>
    </w:p>
    <w:p w14:paraId="65D21E8D" w14:textId="1FE93EF9" w:rsidR="00AC0A55" w:rsidRDefault="00AC0A55" w:rsidP="00AC0A55">
      <w:pPr>
        <w:ind w:firstLine="708"/>
        <w:jc w:val="both"/>
        <w:rPr>
          <w:rFonts w:ascii="Arial" w:hAnsi="Arial" w:cs="Arial"/>
          <w:lang w:val="es-ES"/>
        </w:rPr>
      </w:pPr>
      <w:r w:rsidRPr="00AC0A55">
        <w:rPr>
          <w:rFonts w:ascii="Arial" w:hAnsi="Arial" w:cs="Arial"/>
          <w:lang w:val="es-ES"/>
        </w:rPr>
        <w:t>Integridad del Histórico: Una vez que el ticket llega al estado CERRADO, el registro se vuelve de "Solo Lectura" para evitar alteraciones posteriores en las métricas de gestión, cumpliendo con principios de seguridad de la información.</w:t>
      </w:r>
    </w:p>
    <w:p w14:paraId="5221A475" w14:textId="0DAEF25F" w:rsidR="00AC0A55" w:rsidRDefault="00AC0A55" w:rsidP="00AC0A55">
      <w:pPr>
        <w:ind w:firstLine="708"/>
        <w:jc w:val="both"/>
        <w:rPr>
          <w:rFonts w:ascii="Arial" w:hAnsi="Arial" w:cs="Arial"/>
          <w:lang w:val="es-ES"/>
        </w:rPr>
      </w:pPr>
      <w:r w:rsidRPr="00AC0A55">
        <w:rPr>
          <w:rFonts w:ascii="Arial" w:hAnsi="Arial" w:cs="Arial"/>
          <w:lang w:val="es-ES"/>
        </w:rPr>
        <w:t>Gestión de Continuidad Operativa: La transición entre estados permite al sistema identificar activos con fallas recurrentes. Si un equipo entra en estado "ABIERTO" con demasiada frecuencia en un periodo corto, el sistema notifica una alerta de degradación de hardware, vinculando la lógica de estados directamente con el indicador MTBF.</w:t>
      </w:r>
    </w:p>
    <w:p w14:paraId="1568926C" w14:textId="1807298F" w:rsidR="00624429" w:rsidRPr="009E3BA5" w:rsidRDefault="00624429" w:rsidP="00AC0A55">
      <w:pPr>
        <w:ind w:firstLine="708"/>
        <w:jc w:val="both"/>
        <w:rPr>
          <w:rFonts w:ascii="Arial" w:hAnsi="Arial" w:cs="Arial"/>
          <w:lang w:val="es-ES"/>
        </w:rPr>
      </w:pPr>
      <w:r w:rsidRPr="009E3BA5">
        <w:rPr>
          <w:rFonts w:ascii="Arial" w:hAnsi="Arial" w:cs="Arial"/>
          <w:lang w:val="es-ES"/>
        </w:rPr>
        <w:br/>
      </w:r>
    </w:p>
    <w:sectPr w:rsidR="00624429" w:rsidRPr="009E3B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189C"/>
    <w:multiLevelType w:val="hybridMultilevel"/>
    <w:tmpl w:val="079AF510"/>
    <w:lvl w:ilvl="0" w:tplc="200A0017">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10A52F04"/>
    <w:multiLevelType w:val="hybridMultilevel"/>
    <w:tmpl w:val="CE205760"/>
    <w:lvl w:ilvl="0" w:tplc="E0C20C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13B535DE"/>
    <w:multiLevelType w:val="hybridMultilevel"/>
    <w:tmpl w:val="EE421854"/>
    <w:lvl w:ilvl="0" w:tplc="E0C20C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FB353BA"/>
    <w:multiLevelType w:val="hybridMultilevel"/>
    <w:tmpl w:val="71C06126"/>
    <w:lvl w:ilvl="0" w:tplc="E0C20C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44731FF5"/>
    <w:multiLevelType w:val="hybridMultilevel"/>
    <w:tmpl w:val="AA66A170"/>
    <w:lvl w:ilvl="0" w:tplc="E0C20C20">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572435B7"/>
    <w:multiLevelType w:val="hybridMultilevel"/>
    <w:tmpl w:val="B282B094"/>
    <w:lvl w:ilvl="0" w:tplc="E0C20C20">
      <w:start w:val="1"/>
      <w:numFmt w:val="bullet"/>
      <w:lvlText w:val=""/>
      <w:lvlJc w:val="left"/>
      <w:pPr>
        <w:ind w:left="1571" w:hanging="360"/>
      </w:pPr>
      <w:rPr>
        <w:rFonts w:ascii="Symbol" w:hAnsi="Symbol" w:hint="default"/>
      </w:rPr>
    </w:lvl>
    <w:lvl w:ilvl="1" w:tplc="200A0003" w:tentative="1">
      <w:start w:val="1"/>
      <w:numFmt w:val="bullet"/>
      <w:lvlText w:val="o"/>
      <w:lvlJc w:val="left"/>
      <w:pPr>
        <w:ind w:left="2291" w:hanging="360"/>
      </w:pPr>
      <w:rPr>
        <w:rFonts w:ascii="Courier New" w:hAnsi="Courier New" w:cs="Courier New" w:hint="default"/>
      </w:rPr>
    </w:lvl>
    <w:lvl w:ilvl="2" w:tplc="200A0005" w:tentative="1">
      <w:start w:val="1"/>
      <w:numFmt w:val="bullet"/>
      <w:lvlText w:val=""/>
      <w:lvlJc w:val="left"/>
      <w:pPr>
        <w:ind w:left="3011" w:hanging="360"/>
      </w:pPr>
      <w:rPr>
        <w:rFonts w:ascii="Wingdings" w:hAnsi="Wingdings" w:hint="default"/>
      </w:rPr>
    </w:lvl>
    <w:lvl w:ilvl="3" w:tplc="200A0001" w:tentative="1">
      <w:start w:val="1"/>
      <w:numFmt w:val="bullet"/>
      <w:lvlText w:val=""/>
      <w:lvlJc w:val="left"/>
      <w:pPr>
        <w:ind w:left="3731" w:hanging="360"/>
      </w:pPr>
      <w:rPr>
        <w:rFonts w:ascii="Symbol" w:hAnsi="Symbol" w:hint="default"/>
      </w:rPr>
    </w:lvl>
    <w:lvl w:ilvl="4" w:tplc="200A0003" w:tentative="1">
      <w:start w:val="1"/>
      <w:numFmt w:val="bullet"/>
      <w:lvlText w:val="o"/>
      <w:lvlJc w:val="left"/>
      <w:pPr>
        <w:ind w:left="4451" w:hanging="360"/>
      </w:pPr>
      <w:rPr>
        <w:rFonts w:ascii="Courier New" w:hAnsi="Courier New" w:cs="Courier New" w:hint="default"/>
      </w:rPr>
    </w:lvl>
    <w:lvl w:ilvl="5" w:tplc="200A0005" w:tentative="1">
      <w:start w:val="1"/>
      <w:numFmt w:val="bullet"/>
      <w:lvlText w:val=""/>
      <w:lvlJc w:val="left"/>
      <w:pPr>
        <w:ind w:left="5171" w:hanging="360"/>
      </w:pPr>
      <w:rPr>
        <w:rFonts w:ascii="Wingdings" w:hAnsi="Wingdings" w:hint="default"/>
      </w:rPr>
    </w:lvl>
    <w:lvl w:ilvl="6" w:tplc="200A0001" w:tentative="1">
      <w:start w:val="1"/>
      <w:numFmt w:val="bullet"/>
      <w:lvlText w:val=""/>
      <w:lvlJc w:val="left"/>
      <w:pPr>
        <w:ind w:left="5891" w:hanging="360"/>
      </w:pPr>
      <w:rPr>
        <w:rFonts w:ascii="Symbol" w:hAnsi="Symbol" w:hint="default"/>
      </w:rPr>
    </w:lvl>
    <w:lvl w:ilvl="7" w:tplc="200A0003" w:tentative="1">
      <w:start w:val="1"/>
      <w:numFmt w:val="bullet"/>
      <w:lvlText w:val="o"/>
      <w:lvlJc w:val="left"/>
      <w:pPr>
        <w:ind w:left="6611" w:hanging="360"/>
      </w:pPr>
      <w:rPr>
        <w:rFonts w:ascii="Courier New" w:hAnsi="Courier New" w:cs="Courier New" w:hint="default"/>
      </w:rPr>
    </w:lvl>
    <w:lvl w:ilvl="8" w:tplc="200A0005" w:tentative="1">
      <w:start w:val="1"/>
      <w:numFmt w:val="bullet"/>
      <w:lvlText w:val=""/>
      <w:lvlJc w:val="left"/>
      <w:pPr>
        <w:ind w:left="7331" w:hanging="360"/>
      </w:pPr>
      <w:rPr>
        <w:rFonts w:ascii="Wingdings" w:hAnsi="Wingdings" w:hint="default"/>
      </w:rPr>
    </w:lvl>
  </w:abstractNum>
  <w:abstractNum w:abstractNumId="6" w15:restartNumberingAfterBreak="0">
    <w:nsid w:val="61507D42"/>
    <w:multiLevelType w:val="hybridMultilevel"/>
    <w:tmpl w:val="5DB44504"/>
    <w:lvl w:ilvl="0" w:tplc="E0C20C20">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7" w15:restartNumberingAfterBreak="0">
    <w:nsid w:val="6A8964E4"/>
    <w:multiLevelType w:val="hybridMultilevel"/>
    <w:tmpl w:val="4D04E7EA"/>
    <w:lvl w:ilvl="0" w:tplc="E0C20C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6FC939C3"/>
    <w:multiLevelType w:val="hybridMultilevel"/>
    <w:tmpl w:val="AB2887F8"/>
    <w:lvl w:ilvl="0" w:tplc="E0C20C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75A217C8"/>
    <w:multiLevelType w:val="hybridMultilevel"/>
    <w:tmpl w:val="27CC0A4C"/>
    <w:lvl w:ilvl="0" w:tplc="E0C20C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7D1F59A1"/>
    <w:multiLevelType w:val="hybridMultilevel"/>
    <w:tmpl w:val="60FC1070"/>
    <w:lvl w:ilvl="0" w:tplc="E0C20C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7EF67829"/>
    <w:multiLevelType w:val="hybridMultilevel"/>
    <w:tmpl w:val="013CAD50"/>
    <w:lvl w:ilvl="0" w:tplc="E0C20C2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6"/>
  </w:num>
  <w:num w:numId="4">
    <w:abstractNumId w:val="0"/>
  </w:num>
  <w:num w:numId="5">
    <w:abstractNumId w:val="5"/>
  </w:num>
  <w:num w:numId="6">
    <w:abstractNumId w:val="9"/>
  </w:num>
  <w:num w:numId="7">
    <w:abstractNumId w:val="11"/>
  </w:num>
  <w:num w:numId="8">
    <w:abstractNumId w:val="2"/>
  </w:num>
  <w:num w:numId="9">
    <w:abstractNumId w:val="3"/>
  </w:num>
  <w:num w:numId="10">
    <w:abstractNumId w:val="10"/>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C5"/>
    <w:rsid w:val="00052ED1"/>
    <w:rsid w:val="00461808"/>
    <w:rsid w:val="004D7DF1"/>
    <w:rsid w:val="00523C70"/>
    <w:rsid w:val="0060396E"/>
    <w:rsid w:val="00624429"/>
    <w:rsid w:val="007A27ED"/>
    <w:rsid w:val="00856FB0"/>
    <w:rsid w:val="008A7FC5"/>
    <w:rsid w:val="009E3BA5"/>
    <w:rsid w:val="00AC0A55"/>
    <w:rsid w:val="00AE2FD5"/>
    <w:rsid w:val="00CD4631"/>
    <w:rsid w:val="00EE1C1F"/>
    <w:rsid w:val="00EE6AB7"/>
    <w:rsid w:val="00F52A5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BA17F"/>
  <w15:chartTrackingRefBased/>
  <w15:docId w15:val="{1D0D0EA0-13CD-49DC-93AD-BDC6265C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480" w:lineRule="auto"/>
        <w:ind w:firstLine="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52ED1"/>
    <w:pPr>
      <w:spacing w:before="100" w:beforeAutospacing="1" w:after="100" w:afterAutospacing="1" w:line="240" w:lineRule="auto"/>
      <w:ind w:firstLine="0"/>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52A53"/>
    <w:pPr>
      <w:ind w:left="720"/>
      <w:contextualSpacing/>
    </w:pPr>
  </w:style>
  <w:style w:type="character" w:styleId="Textoennegrita">
    <w:name w:val="Strong"/>
    <w:basedOn w:val="Fuentedeprrafopredeter"/>
    <w:uiPriority w:val="22"/>
    <w:qFormat/>
    <w:rsid w:val="00CD4631"/>
    <w:rPr>
      <w:b/>
      <w:bCs/>
    </w:rPr>
  </w:style>
  <w:style w:type="paragraph" w:styleId="HTMLconformatoprevio">
    <w:name w:val="HTML Preformatted"/>
    <w:basedOn w:val="Normal"/>
    <w:link w:val="HTMLconformatoprevioCar"/>
    <w:uiPriority w:val="99"/>
    <w:semiHidden/>
    <w:unhideWhenUsed/>
    <w:rsid w:val="00052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052ED1"/>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052ED1"/>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052ED1"/>
    <w:rPr>
      <w:rFonts w:ascii="Times New Roman" w:eastAsia="Times New Roman" w:hAnsi="Times New Roman" w:cs="Times New Roman"/>
      <w:b/>
      <w:bCs/>
      <w:sz w:val="27"/>
      <w:szCs w:val="27"/>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762011">
      <w:bodyDiv w:val="1"/>
      <w:marLeft w:val="0"/>
      <w:marRight w:val="0"/>
      <w:marTop w:val="0"/>
      <w:marBottom w:val="0"/>
      <w:divBdr>
        <w:top w:val="none" w:sz="0" w:space="0" w:color="auto"/>
        <w:left w:val="none" w:sz="0" w:space="0" w:color="auto"/>
        <w:bottom w:val="none" w:sz="0" w:space="0" w:color="auto"/>
        <w:right w:val="none" w:sz="0" w:space="0" w:color="auto"/>
      </w:divBdr>
    </w:div>
    <w:div w:id="667828085">
      <w:bodyDiv w:val="1"/>
      <w:marLeft w:val="0"/>
      <w:marRight w:val="0"/>
      <w:marTop w:val="0"/>
      <w:marBottom w:val="0"/>
      <w:divBdr>
        <w:top w:val="none" w:sz="0" w:space="0" w:color="auto"/>
        <w:left w:val="none" w:sz="0" w:space="0" w:color="auto"/>
        <w:bottom w:val="none" w:sz="0" w:space="0" w:color="auto"/>
        <w:right w:val="none" w:sz="0" w:space="0" w:color="auto"/>
      </w:divBdr>
    </w:div>
    <w:div w:id="898790005">
      <w:bodyDiv w:val="1"/>
      <w:marLeft w:val="0"/>
      <w:marRight w:val="0"/>
      <w:marTop w:val="0"/>
      <w:marBottom w:val="0"/>
      <w:divBdr>
        <w:top w:val="none" w:sz="0" w:space="0" w:color="auto"/>
        <w:left w:val="none" w:sz="0" w:space="0" w:color="auto"/>
        <w:bottom w:val="none" w:sz="0" w:space="0" w:color="auto"/>
        <w:right w:val="none" w:sz="0" w:space="0" w:color="auto"/>
      </w:divBdr>
    </w:div>
    <w:div w:id="1028675340">
      <w:bodyDiv w:val="1"/>
      <w:marLeft w:val="0"/>
      <w:marRight w:val="0"/>
      <w:marTop w:val="0"/>
      <w:marBottom w:val="0"/>
      <w:divBdr>
        <w:top w:val="none" w:sz="0" w:space="0" w:color="auto"/>
        <w:left w:val="none" w:sz="0" w:space="0" w:color="auto"/>
        <w:bottom w:val="none" w:sz="0" w:space="0" w:color="auto"/>
        <w:right w:val="none" w:sz="0" w:space="0" w:color="auto"/>
      </w:divBdr>
    </w:div>
    <w:div w:id="1571843157">
      <w:bodyDiv w:val="1"/>
      <w:marLeft w:val="0"/>
      <w:marRight w:val="0"/>
      <w:marTop w:val="0"/>
      <w:marBottom w:val="0"/>
      <w:divBdr>
        <w:top w:val="none" w:sz="0" w:space="0" w:color="auto"/>
        <w:left w:val="none" w:sz="0" w:space="0" w:color="auto"/>
        <w:bottom w:val="none" w:sz="0" w:space="0" w:color="auto"/>
        <w:right w:val="none" w:sz="0" w:space="0" w:color="auto"/>
      </w:divBdr>
    </w:div>
    <w:div w:id="1584292829">
      <w:bodyDiv w:val="1"/>
      <w:marLeft w:val="0"/>
      <w:marRight w:val="0"/>
      <w:marTop w:val="0"/>
      <w:marBottom w:val="0"/>
      <w:divBdr>
        <w:top w:val="none" w:sz="0" w:space="0" w:color="auto"/>
        <w:left w:val="none" w:sz="0" w:space="0" w:color="auto"/>
        <w:bottom w:val="none" w:sz="0" w:space="0" w:color="auto"/>
        <w:right w:val="none" w:sz="0" w:space="0" w:color="auto"/>
      </w:divBdr>
    </w:div>
    <w:div w:id="1880168409">
      <w:bodyDiv w:val="1"/>
      <w:marLeft w:val="0"/>
      <w:marRight w:val="0"/>
      <w:marTop w:val="0"/>
      <w:marBottom w:val="0"/>
      <w:divBdr>
        <w:top w:val="none" w:sz="0" w:space="0" w:color="auto"/>
        <w:left w:val="none" w:sz="0" w:space="0" w:color="auto"/>
        <w:bottom w:val="none" w:sz="0" w:space="0" w:color="auto"/>
        <w:right w:val="none" w:sz="0" w:space="0" w:color="auto"/>
      </w:divBdr>
    </w:div>
    <w:div w:id="210345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6</Pages>
  <Words>1410</Words>
  <Characters>7761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Space14</dc:creator>
  <cp:keywords/>
  <dc:description/>
  <cp:lastModifiedBy>Space14</cp:lastModifiedBy>
  <cp:revision>1</cp:revision>
  <dcterms:created xsi:type="dcterms:W3CDTF">2026-02-01T21:08:00Z</dcterms:created>
  <dcterms:modified xsi:type="dcterms:W3CDTF">2026-02-02T00:32:00Z</dcterms:modified>
</cp:coreProperties>
</file>