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Physio Index</w:t>
      </w:r>
    </w:p>
    <w:p>
      <w:pPr>
        <w:pStyle w:val="Heading2"/>
      </w:pPr>
      <w:r>
        <w:t>Software Requirements Specification</w:t>
      </w:r>
    </w:p>
    <w:p>
      <w:r>
        <w:rPr>
          <w:b w:val="0"/>
        </w:rPr>
      </w:r>
      <w:r>
        <w:rPr>
          <w:b/>
        </w:rPr>
        <w:t>India wide physiotherapist directory and appointment platform</w:t>
      </w:r>
      <w:r>
        <w:rPr>
          <w:b w:val="0"/>
        </w:rPr>
      </w:r>
    </w:p>
    <w:p>
      <w:r>
        <w:rPr>
          <w:b w:val="0"/>
        </w:rPr>
        <w:t>www.thephysioindex.com</w:t>
      </w:r>
    </w:p>
    <w:p>
      <w:r>
        <w:rPr>
          <w:b w:val="0"/>
        </w:rPr>
      </w:r>
      <w:r>
        <w:rPr>
          <w:b/>
        </w:rPr>
        <w:t>Prepared for Arun Mahendran</w:t>
      </w:r>
      <w:r>
        <w:rPr>
          <w:b w:val="0"/>
        </w:rPr>
      </w:r>
    </w:p>
    <w:p>
      <w:r>
        <w:rPr>
          <w:b w:val="0"/>
        </w:rPr>
        <w:t>Version 1.0  |  13 October 2026  |  Product and engineering baseline</w:t>
      </w:r>
    </w:p>
    <w:p>
      <w:pPr>
        <w:pStyle w:val="Heading2"/>
      </w:pPr>
      <w:r>
        <w:t>Purpose</w:t>
      </w:r>
    </w:p>
    <w:p>
      <w:r>
        <w:rPr>
          <w:b w:val="0"/>
        </w:rPr>
        <w:t>Build a national platform that helps patients discover physiotherapists by state, city and locality, assess detailed professional profiles, and book available appointments. Physiotherapists will maintain their profiles, services, offers and calendars through a secure workspace. Platform administrators will approve listings, manage verification and monitor bookings and performance.</w:t>
      </w:r>
    </w:p>
    <w:p>
      <w:r>
        <w:rPr>
          <w:b w:val="0"/>
        </w:rPr>
        <w:t>This specification defines the launch scope, system behaviour, data model, integrations, operational requirements and acceptance tests. It is intended for product owners, designers, developers, quality assurance engineers and operations staff preparing estimates and implementation plans.</w:t>
      </w:r>
    </w:p>
    <w:p>
      <w:pPr>
        <w:pStyle w:val="Heading2"/>
      </w:pPr>
      <w:r>
        <w:t>Core implementation decisions</w:t>
      </w:r>
    </w:p>
    <w:p>
      <w:pPr>
        <w:ind w:left="187" w:hanging="187"/>
      </w:pPr>
      <w:r>
        <w:rPr>
          <w:b w:val="0"/>
        </w:rPr>
        <w:t xml:space="preserve">• </w:t>
      </w:r>
      <w:r>
        <w:rPr>
          <w:b/>
        </w:rPr>
        <w:t>Neon PostgreSQL is the system of record</w:t>
      </w:r>
      <w:r>
        <w:rPr>
          <w:b w:val="0"/>
        </w:rPr>
        <w:t xml:space="preserve"> for structured platform data. Images and private documents use object storage with their metadata and access rules recorded in Neon.</w:t>
      </w:r>
    </w:p>
    <w:p>
      <w:pPr>
        <w:ind w:left="187" w:hanging="187"/>
      </w:pPr>
      <w:r>
        <w:rPr>
          <w:b w:val="0"/>
        </w:rPr>
        <w:t xml:space="preserve">• </w:t>
      </w:r>
      <w:r>
        <w:rPr>
          <w:b/>
        </w:rPr>
        <w:t>Launch with pay at clinic appointments.</w:t>
      </w:r>
      <w:r>
        <w:rPr>
          <w:b w:val="0"/>
        </w:rPr>
        <w:t xml:space="preserve"> Design payment interfaces and price snapshots now; enable online collection, refunds and settlements in a later release.</w:t>
      </w:r>
    </w:p>
    <w:p>
      <w:pPr>
        <w:ind w:left="187" w:hanging="187"/>
      </w:pPr>
      <w:r>
        <w:rPr>
          <w:b w:val="0"/>
        </w:rPr>
        <w:t xml:space="preserve">• </w:t>
      </w:r>
      <w:r>
        <w:rPr>
          <w:b/>
        </w:rPr>
        <w:t>Separate professional identity from clinic locations.</w:t>
      </w:r>
      <w:r>
        <w:rPr>
          <w:b w:val="0"/>
        </w:rPr>
        <w:t xml:space="preserve"> One physiotherapist can practise at several locations but has one conflict controlled calendar.</w:t>
      </w:r>
    </w:p>
    <w:p>
      <w:pPr>
        <w:ind w:left="187" w:hanging="187"/>
      </w:pPr>
      <w:r>
        <w:rPr>
          <w:b w:val="0"/>
        </w:rPr>
        <w:t xml:space="preserve">• </w:t>
      </w:r>
      <w:r>
        <w:rPr>
          <w:b/>
        </w:rPr>
        <w:t>Separate listing approval from credential verification.</w:t>
      </w:r>
      <w:r>
        <w:rPr>
          <w:b w:val="0"/>
        </w:rPr>
        <w:t xml:space="preserve"> A published profile, a claimed profile and a registration checked profile are different states.</w:t>
      </w:r>
    </w:p>
    <w:p>
      <w:pPr>
        <w:ind w:left="187" w:hanging="187"/>
      </w:pPr>
      <w:r>
        <w:rPr>
          <w:b w:val="0"/>
        </w:rPr>
        <w:t xml:space="preserve">• </w:t>
      </w:r>
      <w:r>
        <w:rPr>
          <w:b/>
        </w:rPr>
        <w:t>Make launch requirements testable.</w:t>
      </w:r>
      <w:r>
        <w:rPr>
          <w:b w:val="0"/>
        </w:rPr>
        <w:t xml:space="preserve"> Requirement identifiers and acceptance scenarios in this document form the implementation and release checklist.</w:t>
      </w:r>
    </w:p>
    <w:p>
      <w:pPr>
        <w:pStyle w:val="Heading2"/>
      </w:pPr>
      <w:r>
        <w:t>Specification status</w:t>
      </w:r>
    </w:p>
    <w:p>
      <w:r>
        <w:rPr>
          <w:b w:val="0"/>
        </w:rPr>
        <w:t>The user supplied requirements are the product baseline. Defaults such as booking windows, moderation service levels and cancellation cutoffs are proposed product policies, identified explicitly for owner review. They are configuration values rather than hard coded restrictions. A detailed release decision register appears in Section 30.</w:t>
      </w:r>
    </w:p>
    <w:p>
      <w:pPr>
        <w:pStyle w:val="Heading1"/>
        <w:pageBreakBefore/>
      </w:pPr>
      <w:r>
        <w:t>1 Reading and requirement conventions</w:t>
      </w:r>
    </w:p>
    <w:p>
      <w:pPr>
        <w:pStyle w:val="Heading2"/>
      </w:pPr>
      <w:r>
        <w:t>Document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Sections</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Coverage</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2 to 4</w:t>
            </w:r>
          </w:p>
        </w:tc>
        <w:tc>
          <w:tcPr>
            <w:tcW w:type="dxa" w:w="7214"/>
            <w:vAlign w:val="center"/>
            <w:shd w:fill="FFFFFF"/>
            <w:tcMar>
              <w:top w:w="85" w:type="dxa"/>
              <w:left w:w="85" w:type="dxa"/>
              <w:bottom w:w="85" w:type="dxa"/>
              <w:right w:w="85" w:type="dxa"/>
            </w:tcMar>
          </w:tcPr>
          <w:p>
            <w:pPr>
              <w:spacing w:after="20" w:line="245" w:lineRule="auto"/>
            </w:pPr>
            <w:r>
              <w:rPr>
                <w:b w:val="0"/>
                <w:sz w:val="20"/>
              </w:rPr>
              <w:t>Scope, release boundaries, roles and public navigation</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5 to 9</w:t>
            </w:r>
          </w:p>
        </w:tc>
        <w:tc>
          <w:tcPr>
            <w:tcW w:type="dxa" w:w="7214"/>
            <w:vAlign w:val="center"/>
            <w:shd w:fill="F0F4F6"/>
            <w:tcMar>
              <w:top w:w="85" w:type="dxa"/>
              <w:left w:w="85" w:type="dxa"/>
              <w:bottom w:w="85" w:type="dxa"/>
              <w:right w:w="85" w:type="dxa"/>
            </w:tcMar>
          </w:tcPr>
          <w:p>
            <w:pPr>
              <w:spacing w:after="20" w:line="245" w:lineRule="auto"/>
            </w:pPr>
            <w:r>
              <w:rPr>
                <w:b w:val="0"/>
                <w:sz w:val="20"/>
              </w:rPr>
              <w:t>Accounts, profile claims, credentials, professional profiles, clinics and geographic search</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10 to 15</w:t>
            </w:r>
          </w:p>
        </w:tc>
        <w:tc>
          <w:tcPr>
            <w:tcW w:type="dxa" w:w="7214"/>
            <w:vAlign w:val="center"/>
            <w:shd w:fill="FFFFFF"/>
            <w:tcMar>
              <w:top w:w="85" w:type="dxa"/>
              <w:left w:w="85" w:type="dxa"/>
              <w:bottom w:w="85" w:type="dxa"/>
              <w:right w:w="85" w:type="dxa"/>
            </w:tcMar>
          </w:tcPr>
          <w:p>
            <w:pPr>
              <w:spacing w:after="20" w:line="245" w:lineRule="auto"/>
            </w:pPr>
            <w:r>
              <w:rPr>
                <w:b w:val="0"/>
                <w:sz w:val="20"/>
              </w:rPr>
              <w:t>Calendars, booking lifecycle, concurrency, patient management, offers and practitioner workspace</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16 to 17</w:t>
            </w:r>
          </w:p>
        </w:tc>
        <w:tc>
          <w:tcPr>
            <w:tcW w:type="dxa" w:w="7214"/>
            <w:vAlign w:val="center"/>
            <w:shd w:fill="F0F4F6"/>
            <w:tcMar>
              <w:top w:w="85" w:type="dxa"/>
              <w:left w:w="85" w:type="dxa"/>
              <w:bottom w:w="85" w:type="dxa"/>
              <w:right w:w="85" w:type="dxa"/>
            </w:tcMar>
          </w:tcPr>
          <w:p>
            <w:pPr>
              <w:spacing w:after="20" w:line="245" w:lineRule="auto"/>
            </w:pPr>
            <w:r>
              <w:rPr>
                <w:b w:val="0"/>
                <w:sz w:val="20"/>
              </w:rPr>
              <w:t>Administration, analytics, reviews, moderation and search visibility</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18 to 19</w:t>
            </w:r>
          </w:p>
        </w:tc>
        <w:tc>
          <w:tcPr>
            <w:tcW w:type="dxa" w:w="7214"/>
            <w:vAlign w:val="center"/>
            <w:shd w:fill="FFFFFF"/>
            <w:tcMar>
              <w:top w:w="85" w:type="dxa"/>
              <w:left w:w="85" w:type="dxa"/>
              <w:bottom w:w="85" w:type="dxa"/>
              <w:right w:w="85" w:type="dxa"/>
            </w:tcMar>
          </w:tcPr>
          <w:p>
            <w:pPr>
              <w:spacing w:after="20" w:line="245" w:lineRule="auto"/>
            </w:pPr>
            <w:r>
              <w:rPr>
                <w:b w:val="0"/>
                <w:sz w:val="20"/>
              </w:rPr>
              <w:t>Architecture, integrations and Neon deployment requirements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20 to 23</w:t>
            </w:r>
          </w:p>
        </w:tc>
        <w:tc>
          <w:tcPr>
            <w:tcW w:type="dxa" w:w="7214"/>
            <w:vAlign w:val="center"/>
            <w:shd w:fill="F0F4F6"/>
            <w:tcMar>
              <w:top w:w="85" w:type="dxa"/>
              <w:left w:w="85" w:type="dxa"/>
              <w:bottom w:w="85" w:type="dxa"/>
              <w:right w:w="85" w:type="dxa"/>
            </w:tcMar>
          </w:tcPr>
          <w:p>
            <w:pPr>
              <w:spacing w:after="20" w:line="245" w:lineRule="auto"/>
            </w:pPr>
            <w:r>
              <w:rPr>
                <w:b w:val="0"/>
                <w:sz w:val="20"/>
              </w:rPr>
              <w:t>Data dictionaries, relationships, database constraints and indexes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24 to 25</w:t>
            </w:r>
          </w:p>
        </w:tc>
        <w:tc>
          <w:tcPr>
            <w:tcW w:type="dxa" w:w="7214"/>
            <w:vAlign w:val="center"/>
            <w:shd w:fill="FFFFFF"/>
            <w:tcMar>
              <w:top w:w="85" w:type="dxa"/>
              <w:left w:w="85" w:type="dxa"/>
              <w:bottom w:w="85" w:type="dxa"/>
              <w:right w:w="85" w:type="dxa"/>
            </w:tcMar>
          </w:tcPr>
          <w:p>
            <w:pPr>
              <w:spacing w:after="20" w:line="245" w:lineRule="auto"/>
            </w:pPr>
            <w:r>
              <w:rPr>
                <w:b w:val="0"/>
                <w:sz w:val="20"/>
              </w:rPr>
              <w:t>API endpoints, payloads, errors and event contracts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26 to 28</w:t>
            </w:r>
          </w:p>
        </w:tc>
        <w:tc>
          <w:tcPr>
            <w:tcW w:type="dxa" w:w="7214"/>
            <w:vAlign w:val="center"/>
            <w:shd w:fill="F0F4F6"/>
            <w:tcMar>
              <w:top w:w="85" w:type="dxa"/>
              <w:left w:w="85" w:type="dxa"/>
              <w:bottom w:w="85" w:type="dxa"/>
              <w:right w:w="85" w:type="dxa"/>
            </w:tcMar>
          </w:tcPr>
          <w:p>
            <w:pPr>
              <w:spacing w:after="20" w:line="245" w:lineRule="auto"/>
            </w:pPr>
            <w:r>
              <w:rPr>
                <w:b w:val="0"/>
                <w:sz w:val="20"/>
              </w:rPr>
              <w:t>Security, privacy, performance, accessibility, retention and operations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29 to 31</w:t>
            </w:r>
          </w:p>
        </w:tc>
        <w:tc>
          <w:tcPr>
            <w:tcW w:type="dxa" w:w="7214"/>
            <w:vAlign w:val="center"/>
            <w:shd w:fill="FFFFFF"/>
            <w:tcMar>
              <w:top w:w="85" w:type="dxa"/>
              <w:left w:w="85" w:type="dxa"/>
              <w:bottom w:w="85" w:type="dxa"/>
              <w:right w:w="85" w:type="dxa"/>
            </w:tcMar>
          </w:tcPr>
          <w:p>
            <w:pPr>
              <w:spacing w:after="20" w:line="245" w:lineRule="auto"/>
            </w:pPr>
            <w:r>
              <w:rPr>
                <w:b w:val="0"/>
                <w:sz w:val="20"/>
              </w:rPr>
              <w:t>Acceptance tests, delivery roadmap, decisions and sources</w:t>
            </w:r>
          </w:p>
        </w:tc>
      </w:tr>
    </w:tbl>
    <w:p>
      <w:pPr>
        <w:spacing w:after="0" w:line="60" w:lineRule="exact"/>
      </w:pPr>
      <w:r>
        <w:rPr>
          <w:sz w:val="6"/>
        </w:rPr>
      </w:r>
    </w:p>
    <w:p>
      <w:pPr>
        <w:pStyle w:val="Heading2"/>
      </w:pPr>
      <w:r>
        <w:t>Requirement language</w:t>
      </w:r>
    </w:p>
    <w:p>
      <w:r>
        <w:rPr>
          <w:b w:val="0"/>
        </w:rPr>
      </w:r>
      <w:r>
        <w:rPr>
          <w:b/>
        </w:rPr>
        <w:t>Shall</w:t>
      </w:r>
      <w:r>
        <w:rPr>
          <w:b w:val="0"/>
        </w:rPr>
        <w:t xml:space="preserve"> denotes a mandatory requirement in its assigned release. </w:t>
      </w:r>
      <w:r>
        <w:rPr>
          <w:b/>
        </w:rPr>
        <w:t>Should</w:t>
      </w:r>
      <w:r>
        <w:rPr>
          <w:b w:val="0"/>
        </w:rPr>
        <w:t xml:space="preserve"> denotes a recommended implementation choice that may be replaced by an equivalent documented design. A later release requirement is mandatory only when that release is commissioned. Unlabelled functional requirements are launch requirements.</w:t>
      </w:r>
    </w:p>
    <w:p>
      <w:r>
        <w:rPr>
          <w:b w:val="0"/>
        </w:rPr>
        <w:t>Requirement families are DIR for directory, IAM for identity, VER for verification, PRO for profiles, LOC for locations, CAL for calendars, BKG for bookings, MSG for messages, OFR for offers, ADM for administration, ANA for analytics, REV for reviews, SEO for discoverability, DAT for data, API for interfaces, SEC for security and NFR for quality.</w:t>
      </w:r>
    </w:p>
    <w:p>
      <w:pPr>
        <w:pStyle w:val="Heading2"/>
      </w:pPr>
      <w:r>
        <w:t>Terms</w:t>
      </w:r>
    </w:p>
    <w:p>
      <w:r>
        <w:rPr>
          <w:b w:val="0"/>
        </w:rPr>
      </w:r>
      <w:r>
        <w:rPr>
          <w:b/>
        </w:rPr>
        <w:t>Practitioner</w:t>
      </w:r>
      <w:r>
        <w:rPr>
          <w:b w:val="0"/>
        </w:rPr>
        <w:t xml:space="preserve"> means an individual physiotherapist. </w:t>
      </w:r>
      <w:r>
        <w:rPr>
          <w:b/>
        </w:rPr>
        <w:t>Clinic</w:t>
      </w:r>
      <w:r>
        <w:rPr>
          <w:b w:val="0"/>
        </w:rPr>
        <w:t xml:space="preserve"> means a care organisation; </w:t>
      </w:r>
      <w:r>
        <w:rPr>
          <w:b/>
        </w:rPr>
        <w:t>branch</w:t>
      </w:r>
      <w:r>
        <w:rPr>
          <w:b w:val="0"/>
        </w:rPr>
        <w:t xml:space="preserve"> is a physical practice location. </w:t>
      </w:r>
      <w:r>
        <w:rPr>
          <w:b/>
        </w:rPr>
        <w:t>Offering</w:t>
      </w:r>
      <w:r>
        <w:rPr>
          <w:b w:val="0"/>
        </w:rPr>
        <w:t xml:space="preserve"> is a practitioner service at one branch or service mode. </w:t>
      </w:r>
      <w:r>
        <w:rPr>
          <w:b/>
        </w:rPr>
        <w:t>Reservation</w:t>
      </w:r>
      <w:r>
        <w:rPr>
          <w:b w:val="0"/>
        </w:rPr>
        <w:t xml:space="preserve"> is a capacity blocking interval; </w:t>
      </w:r>
      <w:r>
        <w:rPr>
          <w:b/>
        </w:rPr>
        <w:t>booking</w:t>
      </w:r>
      <w:r>
        <w:rPr>
          <w:b w:val="0"/>
        </w:rPr>
        <w:t xml:space="preserve"> is a patient appointment. </w:t>
      </w:r>
      <w:r>
        <w:rPr>
          <w:b/>
        </w:rPr>
        <w:t>Credential</w:t>
      </w:r>
      <w:r>
        <w:rPr>
          <w:b w:val="0"/>
        </w:rPr>
        <w:t xml:space="preserve"> is a claimed qualification, registration or membership with a type and issuer. </w:t>
      </w:r>
      <w:r>
        <w:rPr>
          <w:b/>
        </w:rPr>
        <w:t>Verification</w:t>
      </w:r>
      <w:r>
        <w:rPr>
          <w:b w:val="0"/>
        </w:rPr>
        <w:t xml:space="preserve"> records a specific check, its evidence, date and result.</w:t>
      </w:r>
    </w:p>
    <w:p>
      <w:r>
        <w:rPr>
          <w:b w:val="0"/>
        </w:rPr>
      </w:r>
      <w:r>
        <w:rPr>
          <w:b/>
        </w:rPr>
        <w:t>MVP</w:t>
      </w:r>
      <w:r>
        <w:rPr>
          <w:b w:val="0"/>
        </w:rPr>
        <w:t xml:space="preserve"> means the launch release. </w:t>
      </w:r>
      <w:r>
        <w:rPr>
          <w:b/>
        </w:rPr>
        <w:t>R1</w:t>
      </w:r>
      <w:r>
        <w:rPr>
          <w:b w:val="0"/>
        </w:rPr>
        <w:t xml:space="preserve"> means subsequent growth features. </w:t>
      </w:r>
      <w:r>
        <w:rPr>
          <w:b/>
        </w:rPr>
        <w:t>R2</w:t>
      </w:r>
      <w:r>
        <w:rPr>
          <w:b w:val="0"/>
        </w:rPr>
        <w:t xml:space="preserve"> means online payments and related financial operations. A </w:t>
      </w:r>
      <w:r>
        <w:rPr>
          <w:b/>
        </w:rPr>
        <w:t>proposed default</w:t>
      </w:r>
      <w:r>
        <w:rPr>
          <w:b w:val="0"/>
        </w:rPr>
        <w:t xml:space="preserve"> must be confirmed before launch but does not prevent design or development.</w:t>
      </w:r>
    </w:p>
    <w:p>
      <w:pPr>
        <w:pStyle w:val="Heading1"/>
        <w:pageBreakBefore/>
      </w:pPr>
      <w:r>
        <w:t>2 Scope and release boundaries</w:t>
      </w:r>
    </w:p>
    <w:p>
      <w:pPr>
        <w:pStyle w:val="Heading2"/>
      </w:pPr>
      <w:r>
        <w:t>Product outcomes</w:t>
      </w:r>
    </w:p>
    <w:p>
      <w:r>
        <w:rPr>
          <w:b w:val="0"/>
        </w:rPr>
        <w:t>The platform shall reduce the steps from local discovery to a confirmed appointment, make professional information comparable, and provide physiotherapists with a reliable way to manage their public presence and schedule. National geographic coverage is a capability; the product shall not claim every physiotherapist is listed or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Capability</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Launch scope</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Later release</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Discovery</w:t>
            </w:r>
          </w:p>
        </w:tc>
        <w:tc>
          <w:tcPr>
            <w:tcW w:type="dxa" w:w="3528"/>
            <w:vAlign w:val="center"/>
            <w:shd w:fill="FFFFFF"/>
            <w:tcMar>
              <w:top w:w="85" w:type="dxa"/>
              <w:left w:w="85" w:type="dxa"/>
              <w:bottom w:w="85" w:type="dxa"/>
              <w:right w:w="85" w:type="dxa"/>
            </w:tcMar>
          </w:tcPr>
          <w:p>
            <w:pPr>
              <w:spacing w:after="20" w:line="245" w:lineRule="auto"/>
            </w:pPr>
            <w:r>
              <w:rPr>
                <w:b w:val="0"/>
                <w:sz w:val="20"/>
              </w:rPr>
              <w:t>State, city, locality, specialty, fee and availability search; responsive profiles</w:t>
            </w:r>
          </w:p>
        </w:tc>
        <w:tc>
          <w:tcPr>
            <w:tcW w:type="dxa" w:w="4406"/>
            <w:vAlign w:val="center"/>
            <w:shd w:fill="FFFFFF"/>
            <w:tcMar>
              <w:top w:w="85" w:type="dxa"/>
              <w:left w:w="85" w:type="dxa"/>
              <w:bottom w:w="85" w:type="dxa"/>
              <w:right w:w="85" w:type="dxa"/>
            </w:tcMar>
          </w:tcPr>
          <w:p>
            <w:pPr>
              <w:spacing w:after="20" w:line="245" w:lineRule="auto"/>
            </w:pPr>
            <w:r>
              <w:rPr>
                <w:b w:val="0"/>
                <w:sz w:val="20"/>
              </w:rPr>
              <w:t>Multilingual content, saved searches and improved recommendations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Profiles</w:t>
            </w:r>
          </w:p>
        </w:tc>
        <w:tc>
          <w:tcPr>
            <w:tcW w:type="dxa" w:w="3528"/>
            <w:vAlign w:val="center"/>
            <w:shd w:fill="F0F4F6"/>
            <w:tcMar>
              <w:top w:w="85" w:type="dxa"/>
              <w:left w:w="85" w:type="dxa"/>
              <w:bottom w:w="85" w:type="dxa"/>
              <w:right w:w="85" w:type="dxa"/>
            </w:tcMar>
          </w:tcPr>
          <w:p>
            <w:pPr>
              <w:spacing w:after="20" w:line="245" w:lineRule="auto"/>
            </w:pPr>
            <w:r>
              <w:rPr>
                <w:b w:val="0"/>
                <w:sz w:val="20"/>
              </w:rPr>
              <w:t>Claim or create, qualifications, work history, registration details, media, clinic links</w:t>
            </w:r>
          </w:p>
        </w:tc>
        <w:tc>
          <w:tcPr>
            <w:tcW w:type="dxa" w:w="4406"/>
            <w:vAlign w:val="center"/>
            <w:shd w:fill="F0F4F6"/>
            <w:tcMar>
              <w:top w:w="85" w:type="dxa"/>
              <w:left w:w="85" w:type="dxa"/>
              <w:bottom w:w="85" w:type="dxa"/>
              <w:right w:w="85" w:type="dxa"/>
            </w:tcMar>
          </w:tcPr>
          <w:p>
            <w:pPr>
              <w:spacing w:after="20" w:line="245" w:lineRule="auto"/>
            </w:pPr>
            <w:r>
              <w:rPr>
                <w:b w:val="0"/>
                <w:sz w:val="20"/>
              </w:rPr>
              <w:t>Articles, professional connections and richer portfolio features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Scheduling</w:t>
            </w:r>
          </w:p>
        </w:tc>
        <w:tc>
          <w:tcPr>
            <w:tcW w:type="dxa" w:w="3528"/>
            <w:vAlign w:val="center"/>
            <w:shd w:fill="FFFFFF"/>
            <w:tcMar>
              <w:top w:w="85" w:type="dxa"/>
              <w:left w:w="85" w:type="dxa"/>
              <w:bottom w:w="85" w:type="dxa"/>
              <w:right w:w="85" w:type="dxa"/>
            </w:tcMar>
          </w:tcPr>
          <w:p>
            <w:pPr>
              <w:spacing w:after="20" w:line="245" w:lineRule="auto"/>
            </w:pPr>
            <w:r>
              <w:rPr>
                <w:b w:val="0"/>
                <w:sz w:val="20"/>
              </w:rPr>
              <w:t>Clinic visits, one to one slots, instant booking, manual bookings, cancellation and rescheduling</w:t>
            </w:r>
          </w:p>
        </w:tc>
        <w:tc>
          <w:tcPr>
            <w:tcW w:type="dxa" w:w="4406"/>
            <w:vAlign w:val="center"/>
            <w:shd w:fill="FFFFFF"/>
            <w:tcMar>
              <w:top w:w="85" w:type="dxa"/>
              <w:left w:w="85" w:type="dxa"/>
              <w:bottom w:w="85" w:type="dxa"/>
              <w:right w:w="85" w:type="dxa"/>
            </w:tcMar>
          </w:tcPr>
          <w:p>
            <w:pPr>
              <w:spacing w:after="20" w:line="245" w:lineRule="auto"/>
            </w:pPr>
            <w:r>
              <w:rPr>
                <w:b w:val="0"/>
                <w:sz w:val="20"/>
              </w:rPr>
              <w:t>Home visits, practitioner acceptance mode, external calendar sync, waitlist and recurring care sessions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Commerce</w:t>
            </w:r>
          </w:p>
        </w:tc>
        <w:tc>
          <w:tcPr>
            <w:tcW w:type="dxa" w:w="3528"/>
            <w:vAlign w:val="center"/>
            <w:shd w:fill="F0F4F6"/>
            <w:tcMar>
              <w:top w:w="85" w:type="dxa"/>
              <w:left w:w="85" w:type="dxa"/>
              <w:bottom w:w="85" w:type="dxa"/>
              <w:right w:w="85" w:type="dxa"/>
            </w:tcMar>
          </w:tcPr>
          <w:p>
            <w:pPr>
              <w:spacing w:after="20" w:line="245" w:lineRule="auto"/>
            </w:pPr>
            <w:r>
              <w:rPr>
                <w:b w:val="0"/>
                <w:sz w:val="20"/>
              </w:rPr>
              <w:t>INR fees, moderated discounts, pay at clinic, booking price snapshot</w:t>
            </w:r>
          </w:p>
        </w:tc>
        <w:tc>
          <w:tcPr>
            <w:tcW w:type="dxa" w:w="4406"/>
            <w:vAlign w:val="center"/>
            <w:shd w:fill="F0F4F6"/>
            <w:tcMar>
              <w:top w:w="85" w:type="dxa"/>
              <w:left w:w="85" w:type="dxa"/>
              <w:bottom w:w="85" w:type="dxa"/>
              <w:right w:w="85" w:type="dxa"/>
            </w:tcMar>
          </w:tcPr>
          <w:p>
            <w:pPr>
              <w:spacing w:after="20" w:line="245" w:lineRule="auto"/>
            </w:pPr>
            <w:r>
              <w:rPr>
                <w:b w:val="0"/>
                <w:sz w:val="20"/>
              </w:rPr>
              <w:t>R2 gateway collection, deposits, refunds, settlements and reconciliation</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Operations</w:t>
            </w:r>
          </w:p>
        </w:tc>
        <w:tc>
          <w:tcPr>
            <w:tcW w:type="dxa" w:w="3528"/>
            <w:vAlign w:val="center"/>
            <w:shd w:fill="FFFFFF"/>
            <w:tcMar>
              <w:top w:w="85" w:type="dxa"/>
              <w:left w:w="85" w:type="dxa"/>
              <w:bottom w:w="85" w:type="dxa"/>
              <w:right w:w="85" w:type="dxa"/>
            </w:tcMar>
          </w:tcPr>
          <w:p>
            <w:pPr>
              <w:spacing w:after="20" w:line="245" w:lineRule="auto"/>
            </w:pPr>
            <w:r>
              <w:rPr>
                <w:b w:val="0"/>
                <w:sz w:val="20"/>
              </w:rPr>
              <w:t>Approval queues, verification, scoped staff access, analytics, support and audit</w:t>
            </w:r>
          </w:p>
        </w:tc>
        <w:tc>
          <w:tcPr>
            <w:tcW w:type="dxa" w:w="4406"/>
            <w:vAlign w:val="center"/>
            <w:shd w:fill="FFFFFF"/>
            <w:tcMar>
              <w:top w:w="85" w:type="dxa"/>
              <w:left w:w="85" w:type="dxa"/>
              <w:bottom w:w="85" w:type="dxa"/>
              <w:right w:w="85" w:type="dxa"/>
            </w:tcMar>
          </w:tcPr>
          <w:p>
            <w:pPr>
              <w:spacing w:after="20" w:line="245" w:lineRule="auto"/>
            </w:pPr>
            <w:r>
              <w:rPr>
                <w:b w:val="0"/>
                <w:sz w:val="20"/>
              </w:rPr>
              <w:t>Advanced fraud detection and regional operations teams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Trust</w:t>
            </w:r>
          </w:p>
        </w:tc>
        <w:tc>
          <w:tcPr>
            <w:tcW w:type="dxa" w:w="3528"/>
            <w:vAlign w:val="center"/>
            <w:shd w:fill="F0F4F6"/>
            <w:tcMar>
              <w:top w:w="85" w:type="dxa"/>
              <w:left w:w="85" w:type="dxa"/>
              <w:bottom w:w="85" w:type="dxa"/>
              <w:right w:w="85" w:type="dxa"/>
            </w:tcMar>
          </w:tcPr>
          <w:p>
            <w:pPr>
              <w:spacing w:after="20" w:line="245" w:lineRule="auto"/>
            </w:pPr>
            <w:r>
              <w:rPr>
                <w:b w:val="0"/>
                <w:sz w:val="20"/>
              </w:rPr>
              <w:t>Credential labels, complaints, completed booking reviews and transparent offer terms</w:t>
            </w:r>
          </w:p>
        </w:tc>
        <w:tc>
          <w:tcPr>
            <w:tcW w:type="dxa" w:w="4406"/>
            <w:vAlign w:val="center"/>
            <w:shd w:fill="F0F4F6"/>
            <w:tcMar>
              <w:top w:w="85" w:type="dxa"/>
              <w:left w:w="85" w:type="dxa"/>
              <w:bottom w:w="85" w:type="dxa"/>
              <w:right w:w="85" w:type="dxa"/>
            </w:tcMar>
          </w:tcPr>
          <w:p>
            <w:pPr>
              <w:spacing w:after="20" w:line="245" w:lineRule="auto"/>
            </w:pPr>
            <w:r>
              <w:rPr>
                <w:b w:val="0"/>
                <w:sz w:val="20"/>
              </w:rPr>
              <w:t>Expanded automated verification when authorised APIs exist</w:t>
            </w:r>
          </w:p>
        </w:tc>
      </w:tr>
    </w:tbl>
    <w:p>
      <w:pPr>
        <w:spacing w:after="0" w:line="60" w:lineRule="exact"/>
      </w:pPr>
      <w:r>
        <w:rPr>
          <w:sz w:val="6"/>
        </w:rPr>
      </w:r>
    </w:p>
    <w:p>
      <w:pPr>
        <w:pStyle w:val="Heading2"/>
      </w:pPr>
      <w:r>
        <w:t>Included user requirements</w:t>
      </w:r>
    </w:p>
    <w:p>
      <w:r>
        <w:rPr>
          <w:b w:val="0"/>
        </w:rPr>
      </w:r>
      <w:r>
        <w:rPr>
          <w:b/>
        </w:rPr>
        <w:t>DIR-01</w:t>
      </w:r>
      <w:r>
        <w:rPr>
          <w:b w:val="0"/>
        </w:rPr>
        <w:t xml:space="preserve"> The platform shall support an India wide directory organised by state or union territory, city and locality. </w:t>
      </w:r>
      <w:r>
        <w:rPr>
          <w:b/>
        </w:rPr>
        <w:t>PRO-01</w:t>
      </w:r>
      <w:r>
        <w:rPr>
          <w:b w:val="0"/>
        </w:rPr>
        <w:t xml:space="preserve"> Each practitioner shall have a detailed public professional profile. </w:t>
      </w:r>
      <w:r>
        <w:rPr>
          <w:b/>
        </w:rPr>
        <w:t>CAL-01</w:t>
      </w:r>
      <w:r>
        <w:rPr>
          <w:b w:val="0"/>
        </w:rPr>
        <w:t xml:space="preserve"> Approved practitioners shall publish available slots and manage appointments. </w:t>
      </w:r>
      <w:r>
        <w:rPr>
          <w:b/>
        </w:rPr>
        <w:t>ADM-01</w:t>
      </w:r>
      <w:r>
        <w:rPr>
          <w:b w:val="0"/>
        </w:rPr>
        <w:t xml:space="preserve"> A super administrator shall monitor platform activity, approve listings and manage operations. </w:t>
      </w:r>
      <w:r>
        <w:rPr>
          <w:b/>
        </w:rPr>
        <w:t>DAT-01</w:t>
      </w:r>
      <w:r>
        <w:rPr>
          <w:b w:val="0"/>
        </w:rPr>
        <w:t xml:space="preserve"> Structured records shall persist in Neon PostgreSQL.</w:t>
      </w:r>
    </w:p>
    <w:p>
      <w:pPr>
        <w:pStyle w:val="Heading2"/>
      </w:pPr>
      <w:r>
        <w:t>Explicit exclusions at launch</w:t>
      </w:r>
    </w:p>
    <w:p>
      <w:r>
        <w:rPr>
          <w:b w:val="0"/>
        </w:rPr>
        <w:t>The MVP does not provide clinical diagnosis, prescriptions, treatment records, insurance claims, emergency dispatch, an employment marketplace, a LinkedIn style social feed, native mobile apps, video consultations, automated scraping of restricted directories, or online payment collection. A calendar export is not a two way calendar sync. An enquiry or telephone click is not a confirmed booking.</w:t>
      </w:r>
    </w:p>
    <w:p>
      <w:pPr>
        <w:pStyle w:val="Heading2"/>
      </w:pPr>
      <w:r>
        <w:t>Operating assumptions</w:t>
      </w:r>
    </w:p>
    <w:p>
      <w:r>
        <w:rPr>
          <w:b w:val="0"/>
        </w:rPr>
        <w:t>The initial interface is English with translation ready labels and Unicode content. Currency is INR, with integer paise in storage. The default display timezone is Asia/Kolkata; timestamps are stored in UTC. One practitioner can treat only one booked patient at a time. The directory can launch nationally while onboarding and marketing proceed city by city. Pricing for platform subscriptions or paid listings is undecided; the MVP shall not charge a platform fee.</w:t>
      </w:r>
    </w:p>
    <w:p>
      <w:pPr>
        <w:pStyle w:val="Heading1"/>
      </w:pPr>
      <w:r>
        <w:t>3 Roles and permissions</w:t>
      </w:r>
    </w:p>
    <w:p>
      <w:pPr>
        <w:pStyle w:val="Heading2"/>
      </w:pPr>
      <w:r>
        <w:t>Access model</w:t>
      </w:r>
    </w:p>
    <w:p>
      <w:r>
        <w:rPr>
          <w:b w:val="0"/>
        </w:rPr>
      </w:r>
      <w:r>
        <w:rPr>
          <w:b/>
        </w:rPr>
        <w:t>IAM-01</w:t>
      </w:r>
      <w:r>
        <w:rPr>
          <w:b w:val="0"/>
        </w:rPr>
        <w:t xml:space="preserve"> Every privileged operation shall be authorised on the server using the authenticated user, role, organisation or practitioner scope, record ownership and action. An interface hiding a button is insufficient. A user may hold several roles, but shall explicitly switch workspaces where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Role</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Permitted access</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Restricted access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Visitor</w:t>
            </w:r>
          </w:p>
        </w:tc>
        <w:tc>
          <w:tcPr>
            <w:tcW w:type="dxa" w:w="3528"/>
            <w:vAlign w:val="center"/>
            <w:shd w:fill="FFFFFF"/>
            <w:tcMar>
              <w:top w:w="85" w:type="dxa"/>
              <w:left w:w="85" w:type="dxa"/>
              <w:bottom w:w="85" w:type="dxa"/>
              <w:right w:w="85" w:type="dxa"/>
            </w:tcMar>
          </w:tcPr>
          <w:p>
            <w:pPr>
              <w:spacing w:after="20" w:line="245" w:lineRule="auto"/>
            </w:pPr>
            <w:r>
              <w:rPr>
                <w:b w:val="0"/>
                <w:sz w:val="20"/>
              </w:rPr>
              <w:t>Search, read public profiles, see slots and offers</w:t>
            </w:r>
          </w:p>
        </w:tc>
        <w:tc>
          <w:tcPr>
            <w:tcW w:type="dxa" w:w="4406"/>
            <w:vAlign w:val="center"/>
            <w:shd w:fill="FFFFFF"/>
            <w:tcMar>
              <w:top w:w="85" w:type="dxa"/>
              <w:left w:w="85" w:type="dxa"/>
              <w:bottom w:w="85" w:type="dxa"/>
              <w:right w:w="85" w:type="dxa"/>
            </w:tcMar>
          </w:tcPr>
          <w:p>
            <w:pPr>
              <w:spacing w:after="20" w:line="245" w:lineRule="auto"/>
            </w:pPr>
            <w:r>
              <w:rPr>
                <w:b w:val="0"/>
                <w:sz w:val="20"/>
              </w:rPr>
              <w:t>No patient, document or appointment details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Patient or guardian</w:t>
            </w:r>
          </w:p>
        </w:tc>
        <w:tc>
          <w:tcPr>
            <w:tcW w:type="dxa" w:w="3528"/>
            <w:vAlign w:val="center"/>
            <w:shd w:fill="F0F4F6"/>
            <w:tcMar>
              <w:top w:w="85" w:type="dxa"/>
              <w:left w:w="85" w:type="dxa"/>
              <w:bottom w:w="85" w:type="dxa"/>
              <w:right w:w="85" w:type="dxa"/>
            </w:tcMar>
          </w:tcPr>
          <w:p>
            <w:pPr>
              <w:spacing w:after="20" w:line="245" w:lineRule="auto"/>
            </w:pPr>
            <w:r>
              <w:rPr>
                <w:b w:val="0"/>
                <w:sz w:val="20"/>
              </w:rPr>
              <w:t>Own account, dependants, bookings, reviews and privacy requests</w:t>
            </w:r>
          </w:p>
        </w:tc>
        <w:tc>
          <w:tcPr>
            <w:tcW w:type="dxa" w:w="4406"/>
            <w:vAlign w:val="center"/>
            <w:shd w:fill="F0F4F6"/>
            <w:tcMar>
              <w:top w:w="85" w:type="dxa"/>
              <w:left w:w="85" w:type="dxa"/>
              <w:bottom w:w="85" w:type="dxa"/>
              <w:right w:w="85" w:type="dxa"/>
            </w:tcMar>
          </w:tcPr>
          <w:p>
            <w:pPr>
              <w:spacing w:after="20" w:line="245" w:lineRule="auto"/>
            </w:pPr>
            <w:r>
              <w:rPr>
                <w:b w:val="0"/>
                <w:sz w:val="20"/>
              </w:rPr>
              <w:t>No other household or practitioner back office records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Physiotherapist</w:t>
            </w:r>
          </w:p>
        </w:tc>
        <w:tc>
          <w:tcPr>
            <w:tcW w:type="dxa" w:w="3528"/>
            <w:vAlign w:val="center"/>
            <w:shd w:fill="FFFFFF"/>
            <w:tcMar>
              <w:top w:w="85" w:type="dxa"/>
              <w:left w:w="85" w:type="dxa"/>
              <w:bottom w:w="85" w:type="dxa"/>
              <w:right w:w="85" w:type="dxa"/>
            </w:tcMar>
          </w:tcPr>
          <w:p>
            <w:pPr>
              <w:spacing w:after="20" w:line="245" w:lineRule="auto"/>
            </w:pPr>
            <w:r>
              <w:rPr>
                <w:b w:val="0"/>
                <w:sz w:val="20"/>
              </w:rPr>
              <w:t>Own profile, offerings, availability, bookings and aggregate performance</w:t>
            </w:r>
          </w:p>
        </w:tc>
        <w:tc>
          <w:tcPr>
            <w:tcW w:type="dxa" w:w="4406"/>
            <w:vAlign w:val="center"/>
            <w:shd w:fill="FFFFFF"/>
            <w:tcMar>
              <w:top w:w="85" w:type="dxa"/>
              <w:left w:w="85" w:type="dxa"/>
              <w:bottom w:w="85" w:type="dxa"/>
              <w:right w:w="85" w:type="dxa"/>
            </w:tcMar>
          </w:tcPr>
          <w:p>
            <w:pPr>
              <w:spacing w:after="20" w:line="245" w:lineRule="auto"/>
            </w:pPr>
            <w:r>
              <w:rPr>
                <w:b w:val="0"/>
                <w:sz w:val="20"/>
              </w:rPr>
              <w:t>No other practitioner data or platform approval rights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Clinic coordinator</w:t>
            </w:r>
          </w:p>
        </w:tc>
        <w:tc>
          <w:tcPr>
            <w:tcW w:type="dxa" w:w="3528"/>
            <w:vAlign w:val="center"/>
            <w:shd w:fill="F0F4F6"/>
            <w:tcMar>
              <w:top w:w="85" w:type="dxa"/>
              <w:left w:w="85" w:type="dxa"/>
              <w:bottom w:w="85" w:type="dxa"/>
              <w:right w:w="85" w:type="dxa"/>
            </w:tcMar>
          </w:tcPr>
          <w:p>
            <w:pPr>
              <w:spacing w:after="20" w:line="245" w:lineRule="auto"/>
            </w:pPr>
            <w:r>
              <w:rPr>
                <w:b w:val="0"/>
                <w:sz w:val="20"/>
              </w:rPr>
              <w:t>Scheduling and limited patient contact for explicitly assigned practitioners and branches</w:t>
            </w:r>
          </w:p>
        </w:tc>
        <w:tc>
          <w:tcPr>
            <w:tcW w:type="dxa" w:w="4406"/>
            <w:vAlign w:val="center"/>
            <w:shd w:fill="F0F4F6"/>
            <w:tcMar>
              <w:top w:w="85" w:type="dxa"/>
              <w:left w:w="85" w:type="dxa"/>
              <w:bottom w:w="85" w:type="dxa"/>
              <w:right w:w="85" w:type="dxa"/>
            </w:tcMar>
          </w:tcPr>
          <w:p>
            <w:pPr>
              <w:spacing w:after="20" w:line="245" w:lineRule="auto"/>
            </w:pPr>
            <w:r>
              <w:rPr>
                <w:b w:val="0"/>
                <w:sz w:val="20"/>
              </w:rPr>
              <w:t>No credential approvals, ownership changes, cross clinic data or unassigned bookings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Verification reviewer</w:t>
            </w:r>
          </w:p>
        </w:tc>
        <w:tc>
          <w:tcPr>
            <w:tcW w:type="dxa" w:w="3528"/>
            <w:vAlign w:val="center"/>
            <w:shd w:fill="FFFFFF"/>
            <w:tcMar>
              <w:top w:w="85" w:type="dxa"/>
              <w:left w:w="85" w:type="dxa"/>
              <w:bottom w:w="85" w:type="dxa"/>
              <w:right w:w="85" w:type="dxa"/>
            </w:tcMar>
          </w:tcPr>
          <w:p>
            <w:pPr>
              <w:spacing w:after="20" w:line="245" w:lineRule="auto"/>
            </w:pPr>
            <w:r>
              <w:rPr>
                <w:b w:val="0"/>
                <w:sz w:val="20"/>
              </w:rPr>
              <w:t>Credential evidence, listing submissions and reasoned decisions</w:t>
            </w:r>
          </w:p>
        </w:tc>
        <w:tc>
          <w:tcPr>
            <w:tcW w:type="dxa" w:w="4406"/>
            <w:vAlign w:val="center"/>
            <w:shd w:fill="FFFFFF"/>
            <w:tcMar>
              <w:top w:w="85" w:type="dxa"/>
              <w:left w:w="85" w:type="dxa"/>
              <w:bottom w:w="85" w:type="dxa"/>
              <w:right w:w="85" w:type="dxa"/>
            </w:tcMar>
          </w:tcPr>
          <w:p>
            <w:pPr>
              <w:spacing w:after="20" w:line="245" w:lineRule="auto"/>
            </w:pPr>
            <w:r>
              <w:rPr>
                <w:b w:val="0"/>
                <w:sz w:val="20"/>
              </w:rPr>
              <w:t>No broad patient directory, financial exports or role administration</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Support agent</w:t>
            </w:r>
          </w:p>
        </w:tc>
        <w:tc>
          <w:tcPr>
            <w:tcW w:type="dxa" w:w="3528"/>
            <w:vAlign w:val="center"/>
            <w:shd w:fill="F0F4F6"/>
            <w:tcMar>
              <w:top w:w="85" w:type="dxa"/>
              <w:left w:w="85" w:type="dxa"/>
              <w:bottom w:w="85" w:type="dxa"/>
              <w:right w:w="85" w:type="dxa"/>
            </w:tcMar>
          </w:tcPr>
          <w:p>
            <w:pPr>
              <w:spacing w:after="20" w:line="245" w:lineRule="auto"/>
            </w:pPr>
            <w:r>
              <w:rPr>
                <w:b w:val="0"/>
                <w:sz w:val="20"/>
              </w:rPr>
              <w:t>Assigned cases and minimum booking details needed to resolve them</w:t>
            </w:r>
          </w:p>
        </w:tc>
        <w:tc>
          <w:tcPr>
            <w:tcW w:type="dxa" w:w="4406"/>
            <w:vAlign w:val="center"/>
            <w:shd w:fill="F0F4F6"/>
            <w:tcMar>
              <w:top w:w="85" w:type="dxa"/>
              <w:left w:w="85" w:type="dxa"/>
              <w:bottom w:w="85" w:type="dxa"/>
              <w:right w:w="85" w:type="dxa"/>
            </w:tcMar>
          </w:tcPr>
          <w:p>
            <w:pPr>
              <w:spacing w:after="20" w:line="245" w:lineRule="auto"/>
            </w:pPr>
            <w:r>
              <w:rPr>
                <w:b w:val="0"/>
                <w:sz w:val="20"/>
              </w:rPr>
              <w:t>No bulk exports or unrestricted credential files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Analyst</w:t>
            </w:r>
          </w:p>
        </w:tc>
        <w:tc>
          <w:tcPr>
            <w:tcW w:type="dxa" w:w="3528"/>
            <w:vAlign w:val="center"/>
            <w:shd w:fill="FFFFFF"/>
            <w:tcMar>
              <w:top w:w="85" w:type="dxa"/>
              <w:left w:w="85" w:type="dxa"/>
              <w:bottom w:w="85" w:type="dxa"/>
              <w:right w:w="85" w:type="dxa"/>
            </w:tcMar>
          </w:tcPr>
          <w:p>
            <w:pPr>
              <w:spacing w:after="20" w:line="245" w:lineRule="auto"/>
            </w:pPr>
            <w:r>
              <w:rPr>
                <w:b w:val="0"/>
                <w:sz w:val="20"/>
              </w:rPr>
              <w:t>Aggregated, deidentified operational reports</w:t>
            </w:r>
          </w:p>
        </w:tc>
        <w:tc>
          <w:tcPr>
            <w:tcW w:type="dxa" w:w="4406"/>
            <w:vAlign w:val="center"/>
            <w:shd w:fill="FFFFFF"/>
            <w:tcMar>
              <w:top w:w="85" w:type="dxa"/>
              <w:left w:w="85" w:type="dxa"/>
              <w:bottom w:w="85" w:type="dxa"/>
              <w:right w:w="85" w:type="dxa"/>
            </w:tcMar>
          </w:tcPr>
          <w:p>
            <w:pPr>
              <w:spacing w:after="20" w:line="245" w:lineRule="auto"/>
            </w:pPr>
            <w:r>
              <w:rPr>
                <w:b w:val="0"/>
                <w:sz w:val="20"/>
              </w:rPr>
              <w:t>No raw patient identities or credential documents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Super administrator</w:t>
            </w:r>
          </w:p>
        </w:tc>
        <w:tc>
          <w:tcPr>
            <w:tcW w:type="dxa" w:w="3528"/>
            <w:vAlign w:val="center"/>
            <w:shd w:fill="F0F4F6"/>
            <w:tcMar>
              <w:top w:w="85" w:type="dxa"/>
              <w:left w:w="85" w:type="dxa"/>
              <w:bottom w:w="85" w:type="dxa"/>
              <w:right w:w="85" w:type="dxa"/>
            </w:tcMar>
          </w:tcPr>
          <w:p>
            <w:pPr>
              <w:spacing w:after="20" w:line="245" w:lineRule="auto"/>
            </w:pPr>
            <w:r>
              <w:rPr>
                <w:b w:val="0"/>
                <w:sz w:val="20"/>
              </w:rPr>
              <w:t>Platform configuration, approvals, roles, moderation and operational oversight</w:t>
            </w:r>
          </w:p>
        </w:tc>
        <w:tc>
          <w:tcPr>
            <w:tcW w:type="dxa" w:w="4406"/>
            <w:vAlign w:val="center"/>
            <w:shd w:fill="F0F4F6"/>
            <w:tcMar>
              <w:top w:w="85" w:type="dxa"/>
              <w:left w:w="85" w:type="dxa"/>
              <w:bottom w:w="85" w:type="dxa"/>
              <w:right w:w="85" w:type="dxa"/>
            </w:tcMar>
          </w:tcPr>
          <w:p>
            <w:pPr>
              <w:spacing w:after="20" w:line="245" w:lineRule="auto"/>
            </w:pPr>
            <w:r>
              <w:rPr>
                <w:b w:val="0"/>
                <w:sz w:val="20"/>
              </w:rPr>
              <w:t>Sensitive access still requires an audit trail and a stated purpose</w:t>
            </w:r>
          </w:p>
        </w:tc>
      </w:tr>
    </w:tbl>
    <w:p>
      <w:pPr>
        <w:spacing w:after="0" w:line="60" w:lineRule="exact"/>
      </w:pPr>
      <w:r>
        <w:rPr>
          <w:sz w:val="6"/>
        </w:rPr>
      </w:r>
    </w:p>
    <w:p>
      <w:pPr>
        <w:pStyle w:val="Heading2"/>
      </w:pPr>
      <w:r>
        <w:t>Permission controls</w:t>
      </w:r>
    </w:p>
    <w:p>
      <w:r>
        <w:rPr>
          <w:b w:val="0"/>
        </w:rPr>
      </w:r>
      <w:r>
        <w:rPr>
          <w:b/>
        </w:rPr>
        <w:t>IAM-02</w:t>
      </w:r>
      <w:r>
        <w:rPr>
          <w:b w:val="0"/>
        </w:rPr>
        <w:t xml:space="preserve"> Staff invitations shall specify scope, expiry and permission set. Accepting an invitation requires authentication with the invited identity. Revocation shall terminate relevant sessions and take effect on the next authorised request.</w:t>
      </w:r>
    </w:p>
    <w:p>
      <w:r>
        <w:rPr>
          <w:b w:val="0"/>
        </w:rPr>
      </w:r>
      <w:r>
        <w:rPr>
          <w:b/>
        </w:rPr>
        <w:t>IAM-03</w:t>
      </w:r>
      <w:r>
        <w:rPr>
          <w:b w:val="0"/>
        </w:rPr>
        <w:t xml:space="preserve"> Admin accounts shall use multifactor authentication. Adding an administrator, changing a practitioner owner, exporting sensitive data or performing a future refund above the configured limit shall require recent reauthentication and a recorded reason. Ownership transfers and privileged role escalation require approval by a second authorised administrator; the requester cannot approve their own change.</w:t>
      </w:r>
    </w:p>
    <w:p>
      <w:r>
        <w:rPr>
          <w:b w:val="0"/>
        </w:rPr>
      </w:r>
      <w:r>
        <w:rPr>
          <w:b/>
        </w:rPr>
        <w:t>IAM-04</w:t>
      </w:r>
      <w:r>
        <w:rPr>
          <w:b w:val="0"/>
        </w:rPr>
        <w:t xml:space="preserve"> Staff shall not silently impersonate a patient. Support assisted changes shall identify the actor and record patient or practitioner authorisation. A temporary support grant shall be time limited and scoped to a case.</w:t>
      </w:r>
    </w:p>
    <w:p>
      <w:r>
        <w:rPr>
          <w:b w:val="0"/>
        </w:rPr>
      </w:r>
      <w:r>
        <w:rPr>
          <w:b/>
        </w:rPr>
        <w:t>IAM-05</w:t>
      </w:r>
      <w:r>
        <w:rPr>
          <w:b w:val="0"/>
        </w:rPr>
        <w:t xml:space="preserve"> Security tests shall attempt access across two patients, two practitioners, two clinics and each administrative role. All disallowed reads, exports, signed document links and mutations shall fail without leaking record existence or contents.</w:t>
      </w:r>
    </w:p>
    <w:p>
      <w:pPr>
        <w:pStyle w:val="Heading2"/>
      </w:pPr>
      <w:r>
        <w:t>Organisation ownership</w:t>
      </w:r>
    </w:p>
    <w:p>
      <w:r>
        <w:rPr>
          <w:b w:val="0"/>
        </w:rPr>
        <w:t>A solo practitioner may operate without a clinic organisation account. Creating a clinic association does not prove clinic ownership. Clinic managers shall receive branch permissions only after a reviewed claim or an invitation from an authorised owner.</w:t>
      </w:r>
    </w:p>
    <w:p>
      <w:pPr>
        <w:pStyle w:val="Heading1"/>
      </w:pPr>
      <w:r>
        <w:t>4 Public experience and navigation</w:t>
      </w:r>
    </w:p>
    <w:p>
      <w:pPr>
        <w:pStyle w:val="Heading2"/>
      </w:pPr>
      <w:r>
        <w:t>Primary patient journey</w:t>
      </w:r>
    </w:p>
    <w:p>
      <w:r>
        <w:rPr>
          <w:b w:val="0"/>
        </w:rPr>
        <w:t>Choose a location or allow optional geolocation, search for a physiotherapist or service, compare profiles, select a clinic and service, choose a slot, verify contact details, review the price and cancellation policy, then confirm. The confirmation shall show an appointment reference, local date and time, clinic directions and management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Route pattern</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Purpose and required content</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w:t>
            </w:r>
          </w:p>
        </w:tc>
        <w:tc>
          <w:tcPr>
            <w:tcW w:type="dxa" w:w="7214"/>
            <w:vAlign w:val="center"/>
            <w:shd w:fill="FFFFFF"/>
            <w:tcMar>
              <w:top w:w="85" w:type="dxa"/>
              <w:left w:w="85" w:type="dxa"/>
              <w:bottom w:w="85" w:type="dxa"/>
              <w:right w:w="85" w:type="dxa"/>
            </w:tcMar>
          </w:tcPr>
          <w:p>
            <w:pPr>
              <w:spacing w:after="20" w:line="245" w:lineRule="auto"/>
            </w:pPr>
            <w:r>
              <w:rPr>
                <w:b w:val="0"/>
                <w:sz w:val="20"/>
              </w:rPr>
              <w:t>Search by place, name or specialty; browse states; practitioner onboarding entry</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/physiotherapists</w:t>
            </w:r>
          </w:p>
        </w:tc>
        <w:tc>
          <w:tcPr>
            <w:tcW w:type="dxa" w:w="7214"/>
            <w:vAlign w:val="center"/>
            <w:shd w:fill="F0F4F6"/>
            <w:tcMar>
              <w:top w:w="85" w:type="dxa"/>
              <w:left w:w="85" w:type="dxa"/>
              <w:bottom w:w="85" w:type="dxa"/>
              <w:right w:w="85" w:type="dxa"/>
            </w:tcMar>
          </w:tcPr>
          <w:p>
            <w:pPr>
              <w:spacing w:after="20" w:line="245" w:lineRule="auto"/>
            </w:pPr>
            <w:r>
              <w:rPr>
                <w:b w:val="0"/>
                <w:sz w:val="20"/>
              </w:rPr>
              <w:t>National discovery and location selection</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/physiotherapists/{state}</w:t>
            </w:r>
          </w:p>
        </w:tc>
        <w:tc>
          <w:tcPr>
            <w:tcW w:type="dxa" w:w="7214"/>
            <w:vAlign w:val="center"/>
            <w:shd w:fill="FFFFFF"/>
            <w:tcMar>
              <w:top w:w="85" w:type="dxa"/>
              <w:left w:w="85" w:type="dxa"/>
              <w:bottom w:w="85" w:type="dxa"/>
              <w:right w:w="85" w:type="dxa"/>
            </w:tcMar>
          </w:tcPr>
          <w:p>
            <w:pPr>
              <w:spacing w:after="20" w:line="245" w:lineRule="auto"/>
            </w:pPr>
            <w:r>
              <w:rPr>
                <w:b w:val="0"/>
                <w:sz w:val="20"/>
              </w:rPr>
              <w:t>State or union territory directory with city navigation</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/physiotherapists/{state}/{city}</w:t>
            </w:r>
          </w:p>
        </w:tc>
        <w:tc>
          <w:tcPr>
            <w:tcW w:type="dxa" w:w="7214"/>
            <w:vAlign w:val="center"/>
            <w:shd w:fill="F0F4F6"/>
            <w:tcMar>
              <w:top w:w="85" w:type="dxa"/>
              <w:left w:w="85" w:type="dxa"/>
              <w:bottom w:w="85" w:type="dxa"/>
              <w:right w:w="85" w:type="dxa"/>
            </w:tcMar>
          </w:tcPr>
          <w:p>
            <w:pPr>
              <w:spacing w:after="20" w:line="245" w:lineRule="auto"/>
            </w:pPr>
            <w:r>
              <w:rPr>
                <w:b w:val="0"/>
                <w:sz w:val="20"/>
              </w:rPr>
              <w:t>City results, localities and relevant services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/physiotherapists/{state}/{city}/{locality}</w:t>
            </w:r>
          </w:p>
        </w:tc>
        <w:tc>
          <w:tcPr>
            <w:tcW w:type="dxa" w:w="7214"/>
            <w:vAlign w:val="center"/>
            <w:shd w:fill="FFFFFF"/>
            <w:tcMar>
              <w:top w:w="85" w:type="dxa"/>
              <w:left w:w="85" w:type="dxa"/>
              <w:bottom w:w="85" w:type="dxa"/>
              <w:right w:w="85" w:type="dxa"/>
            </w:tcMar>
          </w:tcPr>
          <w:p>
            <w:pPr>
              <w:spacing w:after="20" w:line="245" w:lineRule="auto"/>
            </w:pPr>
            <w:r>
              <w:rPr>
                <w:b w:val="0"/>
                <w:sz w:val="20"/>
              </w:rPr>
              <w:t>Local results, map and list views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/physiotherapist/{slug}-{public_id}</w:t>
            </w:r>
          </w:p>
        </w:tc>
        <w:tc>
          <w:tcPr>
            <w:tcW w:type="dxa" w:w="7214"/>
            <w:vAlign w:val="center"/>
            <w:shd w:fill="F0F4F6"/>
            <w:tcMar>
              <w:top w:w="85" w:type="dxa"/>
              <w:left w:w="85" w:type="dxa"/>
              <w:bottom w:w="85" w:type="dxa"/>
              <w:right w:w="85" w:type="dxa"/>
            </w:tcMar>
          </w:tcPr>
          <w:p>
            <w:pPr>
              <w:spacing w:after="20" w:line="245" w:lineRule="auto"/>
            </w:pPr>
            <w:r>
              <w:rPr>
                <w:b w:val="0"/>
                <w:sz w:val="20"/>
              </w:rPr>
              <w:t>Canonical professional profile and booking entry</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/clinics/{slug}-{public_id}</w:t>
            </w:r>
          </w:p>
        </w:tc>
        <w:tc>
          <w:tcPr>
            <w:tcW w:type="dxa" w:w="7214"/>
            <w:vAlign w:val="center"/>
            <w:shd w:fill="FFFFFF"/>
            <w:tcMar>
              <w:top w:w="85" w:type="dxa"/>
              <w:left w:w="85" w:type="dxa"/>
              <w:bottom w:w="85" w:type="dxa"/>
              <w:right w:w="85" w:type="dxa"/>
            </w:tcMar>
          </w:tcPr>
          <w:p>
            <w:pPr>
              <w:spacing w:after="20" w:line="245" w:lineRule="auto"/>
            </w:pPr>
            <w:r>
              <w:rPr>
                <w:b w:val="0"/>
                <w:sz w:val="20"/>
              </w:rPr>
              <w:t>Clinic details, branches and associated practitioners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/book/{offering_id}</w:t>
            </w:r>
          </w:p>
        </w:tc>
        <w:tc>
          <w:tcPr>
            <w:tcW w:type="dxa" w:w="7214"/>
            <w:vAlign w:val="center"/>
            <w:shd w:fill="F0F4F6"/>
            <w:tcMar>
              <w:top w:w="85" w:type="dxa"/>
              <w:left w:w="85" w:type="dxa"/>
              <w:bottom w:w="85" w:type="dxa"/>
              <w:right w:w="85" w:type="dxa"/>
            </w:tcMar>
          </w:tcPr>
          <w:p>
            <w:pPr>
              <w:spacing w:after="20" w:line="245" w:lineRule="auto"/>
            </w:pPr>
            <w:r>
              <w:rPr>
                <w:b w:val="0"/>
                <w:sz w:val="20"/>
              </w:rPr>
              <w:t>Slot selection and authenticated booking confirmation</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/for-physiotherapists and /claim</w:t>
            </w:r>
          </w:p>
        </w:tc>
        <w:tc>
          <w:tcPr>
            <w:tcW w:type="dxa" w:w="7214"/>
            <w:vAlign w:val="center"/>
            <w:shd w:fill="FFFFFF"/>
            <w:tcMar>
              <w:top w:w="85" w:type="dxa"/>
              <w:left w:w="85" w:type="dxa"/>
              <w:bottom w:w="85" w:type="dxa"/>
              <w:right w:w="85" w:type="dxa"/>
            </w:tcMar>
          </w:tcPr>
          <w:p>
            <w:pPr>
              <w:spacing w:after="20" w:line="245" w:lineRule="auto"/>
            </w:pPr>
            <w:r>
              <w:rPr>
                <w:b w:val="0"/>
                <w:sz w:val="20"/>
              </w:rPr>
              <w:t>Registration benefits, create or claim flow</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/account, /workspace, /admin</w:t>
            </w:r>
          </w:p>
        </w:tc>
        <w:tc>
          <w:tcPr>
            <w:tcW w:type="dxa" w:w="7214"/>
            <w:vAlign w:val="center"/>
            <w:shd w:fill="F0F4F6"/>
            <w:tcMar>
              <w:top w:w="85" w:type="dxa"/>
              <w:left w:w="85" w:type="dxa"/>
              <w:bottom w:w="85" w:type="dxa"/>
              <w:right w:w="85" w:type="dxa"/>
            </w:tcMar>
          </w:tcPr>
          <w:p>
            <w:pPr>
              <w:spacing w:after="20" w:line="245" w:lineRule="auto"/>
            </w:pPr>
            <w:r>
              <w:rPr>
                <w:b w:val="0"/>
                <w:sz w:val="20"/>
              </w:rPr>
              <w:t>Patient, practitioner and platform workspaces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/help and policy pages</w:t>
            </w:r>
          </w:p>
        </w:tc>
        <w:tc>
          <w:tcPr>
            <w:tcW w:type="dxa" w:w="7214"/>
            <w:vAlign w:val="center"/>
            <w:shd w:fill="FFFFFF"/>
            <w:tcMar>
              <w:top w:w="85" w:type="dxa"/>
              <w:left w:w="85" w:type="dxa"/>
              <w:bottom w:w="85" w:type="dxa"/>
              <w:right w:w="85" w:type="dxa"/>
            </w:tcMar>
          </w:tcPr>
          <w:p>
            <w:pPr>
              <w:spacing w:after="20" w:line="245" w:lineRule="auto"/>
            </w:pPr>
            <w:r>
              <w:rPr>
                <w:b w:val="0"/>
                <w:sz w:val="20"/>
              </w:rPr>
              <w:t>Support, verification explanation, privacy, terms and cancellations</w:t>
            </w:r>
          </w:p>
        </w:tc>
      </w:tr>
    </w:tbl>
    <w:p>
      <w:pPr>
        <w:spacing w:after="0" w:line="60" w:lineRule="exact"/>
      </w:pPr>
      <w:r>
        <w:rPr>
          <w:sz w:val="6"/>
        </w:rPr>
      </w:r>
    </w:p>
    <w:p>
      <w:pPr>
        <w:pStyle w:val="Heading2"/>
      </w:pPr>
      <w:r>
        <w:t>Interface requirements</w:t>
      </w:r>
    </w:p>
    <w:p>
      <w:r>
        <w:rPr>
          <w:b w:val="0"/>
        </w:rPr>
      </w:r>
      <w:r>
        <w:rPr>
          <w:b/>
        </w:rPr>
        <w:t>DIR-02</w:t>
      </w:r>
      <w:r>
        <w:rPr>
          <w:b w:val="0"/>
        </w:rPr>
        <w:t xml:space="preserve"> The mobile profile shall present the practitioner's name, professional designation, location, credential labels, fee basis and next availability before long form content. A persistent booking action shall remain keyboard accessible and shall not obscure page content.</w:t>
      </w:r>
    </w:p>
    <w:p>
      <w:r>
        <w:rPr>
          <w:b w:val="0"/>
        </w:rPr>
      </w:r>
      <w:r>
        <w:rPr>
          <w:b/>
        </w:rPr>
        <w:t>DIR-03</w:t>
      </w:r>
      <w:r>
        <w:rPr>
          <w:b w:val="0"/>
        </w:rPr>
        <w:t xml:space="preserve"> List cards shall show name, primary qualification, area of practice, locality, clinic, service fee or clearly qualified starting fee, verification label, review count and a booking action when eligible. Unclaimed or unbookable profiles shall show an enquiry or claim action without invented availability.</w:t>
      </w:r>
    </w:p>
    <w:p>
      <w:r>
        <w:rPr>
          <w:b w:val="0"/>
        </w:rPr>
      </w:r>
      <w:r>
        <w:rPr>
          <w:b/>
        </w:rPr>
        <w:t>DIR-04</w:t>
      </w:r>
      <w:r>
        <w:rPr>
          <w:b w:val="0"/>
        </w:rPr>
        <w:t xml:space="preserve"> Search and booking screens shall handle loading, empty results, invalid location, expired session, offline state, unavailable slot and service error. Failed submission shall preserve safe entered data and show a specific retry action.</w:t>
      </w:r>
    </w:p>
    <w:p>
      <w:r>
        <w:rPr>
          <w:b w:val="0"/>
        </w:rPr>
      </w:r>
      <w:r>
        <w:rPr>
          <w:b/>
        </w:rPr>
        <w:t>DIR-05</w:t>
      </w:r>
      <w:r>
        <w:rPr>
          <w:b w:val="0"/>
        </w:rPr>
        <w:t xml:space="preserve"> The site shall provide breadcrumbs, filter counts, clear filter reset, shareable URLs and back navigation that preserves search state. Location permission shall be optional; manual entry must remain usable.</w:t>
      </w:r>
    </w:p>
    <w:p>
      <w:r>
        <w:rPr>
          <w:b w:val="0"/>
        </w:rPr>
      </w:r>
      <w:r>
        <w:rPr>
          <w:b/>
        </w:rPr>
        <w:t>DIR-06</w:t>
      </w:r>
      <w:r>
        <w:rPr>
          <w:b w:val="0"/>
        </w:rPr>
        <w:t xml:space="preserve"> Profile links and QR codes shall resolve through stable public identifiers. Renaming a practitioner or changing their locality shall not break shared links. Content correction and report profile links shall be visible.</w:t>
      </w:r>
    </w:p>
    <w:p>
      <w:pPr>
        <w:pStyle w:val="Heading1"/>
      </w:pPr>
      <w:r>
        <w:t>5 Accounts and profile claims</w:t>
      </w:r>
    </w:p>
    <w:p>
      <w:pPr>
        <w:pStyle w:val="Heading2"/>
      </w:pPr>
      <w:r>
        <w:t>Patient identity</w:t>
      </w:r>
    </w:p>
    <w:p>
      <w:r>
        <w:rPr>
          <w:b w:val="0"/>
        </w:rPr>
      </w:r>
      <w:r>
        <w:rPr>
          <w:b/>
        </w:rPr>
        <w:t>IAM-06</w:t>
      </w:r>
      <w:r>
        <w:rPr>
          <w:b w:val="0"/>
        </w:rPr>
        <w:t xml:space="preserve"> Patients shall verify a mobile number before confirming a booking. Email is optional at launch and shall be verified before it is used for account recovery. A managed authentication service should handle credentials, sessions and OTP delivery; authentication secrets shall not be copied into profile tables.</w:t>
      </w:r>
    </w:p>
    <w:p>
      <w:r>
        <w:rPr>
          <w:b w:val="0"/>
        </w:rPr>
      </w:r>
      <w:r>
        <w:rPr>
          <w:b/>
        </w:rPr>
        <w:t>IAM-07</w:t>
      </w:r>
      <w:r>
        <w:rPr>
          <w:b w:val="0"/>
        </w:rPr>
        <w:t xml:space="preserve"> OTPs shall be single use, expire after a proposed five minutes, and have resend throttling and a proposed five attempt limit. Apply rate limits by account, destination, IP and risk signal without relying on IP alone. Error messages shall not disclose whether a number already has an account.</w:t>
      </w:r>
    </w:p>
    <w:p>
      <w:r>
        <w:rPr>
          <w:b w:val="0"/>
        </w:rPr>
      </w:r>
      <w:r>
        <w:rPr>
          <w:b/>
        </w:rPr>
        <w:t>IAM-08</w:t>
      </w:r>
      <w:r>
        <w:rPr>
          <w:b w:val="0"/>
        </w:rPr>
        <w:t xml:space="preserve"> Changing a login number shall require verification of the new number and proof of existing account control or a reviewed recovery case. Merge and recovery actions shall preserve booking ownership and be auditable.</w:t>
      </w:r>
    </w:p>
    <w:p>
      <w:pPr>
        <w:pStyle w:val="Heading2"/>
      </w:pPr>
      <w:r>
        <w:t>Practitioner onboarding</w:t>
      </w:r>
    </w:p>
    <w:p>
      <w:r>
        <w:rPr>
          <w:b w:val="0"/>
        </w:rPr>
      </w:r>
      <w:r>
        <w:rPr>
          <w:b/>
        </w:rPr>
        <w:t>PRO-02</w:t>
      </w:r>
      <w:r>
        <w:rPr>
          <w:b w:val="0"/>
        </w:rPr>
        <w:t xml:space="preserve"> A practitioner shall search existing profiles before creating one. The creation wizard shall capture identity and contact verification, professional credentials, practice locations, services, fees and profile publication consent. Drafts shall autosave and be resumable.</w:t>
      </w:r>
    </w:p>
    <w:p>
      <w:r>
        <w:rPr>
          <w:b w:val="0"/>
        </w:rPr>
      </w:r>
      <w:r>
        <w:rPr>
          <w:b/>
        </w:rPr>
        <w:t>PRO-03</w:t>
      </w:r>
      <w:r>
        <w:rPr>
          <w:b w:val="0"/>
        </w:rPr>
        <w:t xml:space="preserve"> Submitting a listing shall validate mandatory fields, require acceptance of current provider terms and create a review case. A draft, submission or rejection shall not appear in public search. Approval creates the first published profile version; booking enablement requires the additional eligibility checks in Section 6.</w:t>
      </w:r>
    </w:p>
    <w:p>
      <w:pPr>
        <w:pStyle w:val="Heading2"/>
      </w:pPr>
      <w:r>
        <w:t>Claim workflow</w:t>
      </w:r>
    </w:p>
    <w:p>
      <w:r>
        <w:rPr>
          <w:b w:val="0"/>
        </w:rPr>
      </w:r>
      <w:r>
        <w:rPr>
          <w:b/>
        </w:rPr>
        <w:t>PRO-04</w:t>
      </w:r>
      <w:r>
        <w:rPr>
          <w:b w:val="0"/>
        </w:rPr>
        <w:t xml:space="preserve"> A claim shall move through requested, evidence requested, under review, approved, rejected or withdrawn. The claimant must prove control or professional identity using reviewer approved evidence. An OTP sent to a newly entered number alone shall not transfer an existing listing.</w:t>
      </w:r>
    </w:p>
    <w:p>
      <w:r>
        <w:rPr>
          <w:b w:val="0"/>
        </w:rPr>
      </w:r>
      <w:r>
        <w:rPr>
          <w:b/>
        </w:rPr>
        <w:t>PRO-05</w:t>
      </w:r>
      <w:r>
        <w:rPr>
          <w:b w:val="0"/>
        </w:rPr>
        <w:t xml:space="preserve"> A matching registration issuer and number shall raise a duplicate warning. Similar name, phone, qualification and clinic matches shall support a review queue rather than an automatic merge. Multiple practitioners can share a clinic phone number.</w:t>
      </w:r>
    </w:p>
    <w:p>
      <w:r>
        <w:rPr>
          <w:b w:val="0"/>
        </w:rPr>
      </w:r>
      <w:r>
        <w:rPr>
          <w:b/>
        </w:rPr>
        <w:t>PRO-06</w:t>
      </w:r>
      <w:r>
        <w:rPr>
          <w:b w:val="0"/>
        </w:rPr>
        <w:t xml:space="preserve"> Two competing claims shall freeze ownership transfer until a reviewer resolves the dispute. An already claimed listing shall not be reassigned automatically. Approved claims shall bind the existing practitioner identifier to the owner and retain the public URL, historical source records and audit trail.</w:t>
      </w:r>
    </w:p>
    <w:p>
      <w:pPr>
        <w:pStyle w:val="Heading2"/>
      </w:pPr>
      <w:r>
        <w:t>Imported and unclaimed profiles</w:t>
      </w:r>
    </w:p>
    <w:p>
      <w:r>
        <w:rPr>
          <w:b w:val="0"/>
        </w:rPr>
      </w:r>
      <w:r>
        <w:rPr>
          <w:b/>
        </w:rPr>
        <w:t>PRO-07</w:t>
      </w:r>
      <w:r>
        <w:rPr>
          <w:b w:val="0"/>
        </w:rPr>
        <w:t xml:space="preserve"> Imports shall enter a private staging area with source URL, collection date, permitted use basis and import batch. Only reviewed professional business data may be published. Unclaimed profiles shall be labelled and have no platform appointment slots. Provide correction and removal requests; do not infer endorsement or publish private phone numbers, certificates or home addresses.</w:t>
      </w:r>
    </w:p>
    <w:p>
      <w:pPr>
        <w:pStyle w:val="Heading1"/>
      </w:pPr>
      <w:r>
        <w:t>6 Professional registration verification</w:t>
      </w:r>
    </w:p>
    <w:p>
      <w:pPr>
        <w:pStyle w:val="Heading2"/>
      </w:pPr>
      <w:r>
        <w:t>Credential model</w:t>
      </w:r>
    </w:p>
    <w:p>
      <w:r>
        <w:rPr>
          <w:b w:val="0"/>
        </w:rPr>
      </w:r>
      <w:r>
        <w:rPr>
          <w:b/>
        </w:rPr>
        <w:t>VER-01</w:t>
      </w:r>
      <w:r>
        <w:rPr>
          <w:b w:val="0"/>
        </w:rPr>
        <w:t xml:space="preserve"> Store credential type, issuing authority, jurisdiction, original and normalised number, issue date, expiry where applicable, evidence, source, status and last checked date. A practitioner can hold multiple credentials. The platform shall not use one national number format or require an NMC registration number for physiotherapists.</w:t>
      </w:r>
    </w:p>
    <w:p>
      <w:r>
        <w:rPr>
          <w:b w:val="0"/>
        </w:rPr>
        <w:t>The official allied health enrolment FAQ distinguishes enrolment from the further registration process. The system shall therefore distinguish a statutory registration, enrolment identifier, degree and professional association membership. None shall automatically substitute for another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Credential or result</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Patient facing treatment</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Registration checked</w:t>
            </w:r>
          </w:p>
        </w:tc>
        <w:tc>
          <w:tcPr>
            <w:tcW w:type="dxa" w:w="7214"/>
            <w:vAlign w:val="center"/>
            <w:shd w:fill="FFFFFF"/>
            <w:tcMar>
              <w:top w:w="85" w:type="dxa"/>
              <w:left w:w="85" w:type="dxa"/>
              <w:bottom w:w="85" w:type="dxa"/>
              <w:right w:w="85" w:type="dxa"/>
            </w:tcMar>
          </w:tcPr>
          <w:p>
            <w:pPr>
              <w:spacing w:after="20" w:line="245" w:lineRule="auto"/>
            </w:pPr>
            <w:r>
              <w:rPr>
                <w:b w:val="0"/>
                <w:sz w:val="20"/>
              </w:rPr>
              <w:t>Show issuer, jurisdiction, approved public number, date checked and scope of check</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Document reviewed</w:t>
            </w:r>
          </w:p>
        </w:tc>
        <w:tc>
          <w:tcPr>
            <w:tcW w:type="dxa" w:w="7214"/>
            <w:vAlign w:val="center"/>
            <w:shd w:fill="F0F4F6"/>
            <w:tcMar>
              <w:top w:w="85" w:type="dxa"/>
              <w:left w:w="85" w:type="dxa"/>
              <w:bottom w:w="85" w:type="dxa"/>
              <w:right w:w="85" w:type="dxa"/>
            </w:tcMar>
          </w:tcPr>
          <w:p>
            <w:pPr>
              <w:spacing w:after="20" w:line="245" w:lineRule="auto"/>
            </w:pPr>
            <w:r>
              <w:rPr>
                <w:b w:val="0"/>
                <w:sz w:val="20"/>
              </w:rPr>
              <w:t>Show that a document was reviewed; do not imply live registry confirmation</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Enrolment identifier</w:t>
            </w:r>
          </w:p>
        </w:tc>
        <w:tc>
          <w:tcPr>
            <w:tcW w:type="dxa" w:w="7214"/>
            <w:vAlign w:val="center"/>
            <w:shd w:fill="FFFFFF"/>
            <w:tcMar>
              <w:top w:w="85" w:type="dxa"/>
              <w:left w:w="85" w:type="dxa"/>
              <w:bottom w:w="85" w:type="dxa"/>
              <w:right w:w="85" w:type="dxa"/>
            </w:tcMar>
          </w:tcPr>
          <w:p>
            <w:pPr>
              <w:spacing w:after="20" w:line="245" w:lineRule="auto"/>
            </w:pPr>
            <w:r>
              <w:rPr>
                <w:b w:val="0"/>
                <w:sz w:val="20"/>
              </w:rPr>
              <w:t>Label as enrolment only; no automatic licence badge</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Association membership</w:t>
            </w:r>
          </w:p>
        </w:tc>
        <w:tc>
          <w:tcPr>
            <w:tcW w:type="dxa" w:w="7214"/>
            <w:vAlign w:val="center"/>
            <w:shd w:fill="F0F4F6"/>
            <w:tcMar>
              <w:top w:w="85" w:type="dxa"/>
              <w:left w:w="85" w:type="dxa"/>
              <w:bottom w:w="85" w:type="dxa"/>
              <w:right w:w="85" w:type="dxa"/>
            </w:tcMar>
          </w:tcPr>
          <w:p>
            <w:pPr>
              <w:spacing w:after="20" w:line="245" w:lineRule="auto"/>
            </w:pPr>
            <w:r>
              <w:rPr>
                <w:b w:val="0"/>
                <w:sz w:val="20"/>
              </w:rPr>
              <w:t>Display in memberships; do not label it a licence</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Pending or unverifiable</w:t>
            </w:r>
          </w:p>
        </w:tc>
        <w:tc>
          <w:tcPr>
            <w:tcW w:type="dxa" w:w="7214"/>
            <w:vAlign w:val="center"/>
            <w:shd w:fill="FFFFFF"/>
            <w:tcMar>
              <w:top w:w="85" w:type="dxa"/>
              <w:left w:w="85" w:type="dxa"/>
              <w:bottom w:w="85" w:type="dxa"/>
              <w:right w:w="85" w:type="dxa"/>
            </w:tcMar>
          </w:tcPr>
          <w:p>
            <w:pPr>
              <w:spacing w:after="20" w:line="245" w:lineRule="auto"/>
            </w:pPr>
            <w:r>
              <w:rPr>
                <w:b w:val="0"/>
                <w:sz w:val="20"/>
              </w:rPr>
              <w:t>Clearly identify as pending or not independently verified</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Expired, suspended or revoked</w:t>
            </w:r>
          </w:p>
        </w:tc>
        <w:tc>
          <w:tcPr>
            <w:tcW w:type="dxa" w:w="7214"/>
            <w:vAlign w:val="center"/>
            <w:shd w:fill="F0F4F6"/>
            <w:tcMar>
              <w:top w:w="85" w:type="dxa"/>
              <w:left w:w="85" w:type="dxa"/>
              <w:bottom w:w="85" w:type="dxa"/>
              <w:right w:w="85" w:type="dxa"/>
            </w:tcMar>
          </w:tcPr>
          <w:p>
            <w:pPr>
              <w:spacing w:after="20" w:line="245" w:lineRule="auto"/>
            </w:pPr>
            <w:r>
              <w:rPr>
                <w:b w:val="0"/>
                <w:sz w:val="20"/>
              </w:rPr>
              <w:t>Remove active verification label and apply booking restrictions</w:t>
            </w:r>
          </w:p>
        </w:tc>
      </w:tr>
    </w:tbl>
    <w:p>
      <w:pPr>
        <w:spacing w:after="0" w:line="60" w:lineRule="exact"/>
      </w:pPr>
      <w:r>
        <w:rPr>
          <w:sz w:val="6"/>
        </w:rPr>
      </w:r>
    </w:p>
    <w:p>
      <w:pPr>
        <w:pStyle w:val="Heading2"/>
      </w:pPr>
      <w:r>
        <w:t>Review and publication rules</w:t>
      </w:r>
    </w:p>
    <w:p>
      <w:r>
        <w:rPr>
          <w:b w:val="0"/>
        </w:rPr>
      </w:r>
      <w:r>
        <w:rPr>
          <w:b/>
        </w:rPr>
        <w:t>VER-02</w:t>
      </w:r>
      <w:r>
        <w:rPr>
          <w:b w:val="0"/>
        </w:rPr>
        <w:t xml:space="preserve"> A reviewer shall compare identity, qualification and issuer evidence using an official lookup where available, or documented manual verification. Record method, evidence reference, reviewer, time, outcome, reason and next review date. The MVP shall not depend on an undocumented government API or collect government portal login credentials.</w:t>
      </w:r>
    </w:p>
    <w:p>
      <w:r>
        <w:rPr>
          <w:b w:val="0"/>
        </w:rPr>
      </w:r>
      <w:r>
        <w:rPr>
          <w:b/>
        </w:rPr>
        <w:t>VER-03</w:t>
      </w:r>
      <w:r>
        <w:rPr>
          <w:b w:val="0"/>
        </w:rPr>
        <w:t xml:space="preserve"> Maintain a configurable jurisdiction and authority policy table identifying accepted credentials and booking requirements. Where a current regulatory route is unavailable or uncertain, use a reviewed exception with evidence and a precise public label; do not manufacture a licence number or mark statutory registration verified. The launch operations owner must validate each enabled jurisdiction's policy.</w:t>
      </w:r>
    </w:p>
    <w:p>
      <w:r>
        <w:rPr>
          <w:b w:val="0"/>
        </w:rPr>
      </w:r>
      <w:r>
        <w:rPr>
          <w:b/>
        </w:rPr>
        <w:t>VER-04</w:t>
      </w:r>
      <w:r>
        <w:rPr>
          <w:b w:val="0"/>
        </w:rPr>
        <w:t xml:space="preserve"> Listing publication and booking eligibility shall be separate decisions. Booking requires a claimed account, verified contact, approved profile, active offering, current booking eligibility and published availability. Imported listings cannot become bookable through a bulk import alone.</w:t>
      </w:r>
    </w:p>
    <w:p>
      <w:r>
        <w:rPr>
          <w:b w:val="0"/>
        </w:rPr>
      </w:r>
      <w:r>
        <w:rPr>
          <w:b/>
        </w:rPr>
        <w:t>VER-05</w:t>
      </w:r>
      <w:r>
        <w:rPr>
          <w:b w:val="0"/>
        </w:rPr>
        <w:t xml:space="preserve"> Changing identity, registration, degree or ownership shall trigger renewed review. The previous approved version remains visible unless a safety or fraud concern requires immediate suppression. Send proposed renewal reminders 30, 7 and 1 day before a known expiry; remove eligibility when the relevant credential expires.</w:t>
      </w:r>
    </w:p>
    <w:p>
      <w:r>
        <w:rPr>
          <w:b w:val="0"/>
        </w:rPr>
      </w:r>
      <w:r>
        <w:rPr>
          <w:b/>
        </w:rPr>
        <w:t>VER-06</w:t>
      </w:r>
      <w:r>
        <w:rPr>
          <w:b w:val="0"/>
        </w:rPr>
        <w:t xml:space="preserve"> Suspension shall prevent new reservations immediately, identify all future bookings and create resolution tasks. Notify affected patients with neutral wording; do not silently cancel appointments without recording each outcome. Verification badges attest to the stated check, not treatment quality or guaranteed outcomes.</w:t>
      </w:r>
    </w:p>
    <w:p>
      <w:pPr>
        <w:pStyle w:val="Heading1"/>
      </w:pPr>
      <w:r>
        <w:t>7 Professional profile requirements</w:t>
      </w:r>
    </w:p>
    <w:p>
      <w:pPr>
        <w:pStyle w:val="Heading2"/>
      </w:pPr>
      <w:r>
        <w:t>Public field specification</w:t>
      </w:r>
    </w:p>
    <w:p>
      <w:r>
        <w:rPr>
          <w:b w:val="0"/>
        </w:rPr>
      </w:r>
      <w:r>
        <w:rPr>
          <w:b/>
        </w:rPr>
        <w:t>PRO-08</w:t>
      </w:r>
      <w:r>
        <w:rPr>
          <w:b w:val="0"/>
        </w:rPr>
        <w:t xml:space="preserve"> Profiles shall be structured professional portfolios with separately editable sections, publication preview and completion status. Required fields below are mandatory for a submitted, bookable profile unless jurisdiction policy permits a documented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Field group</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Required data</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Validation and visibility</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Identity</w:t>
            </w:r>
          </w:p>
        </w:tc>
        <w:tc>
          <w:tcPr>
            <w:tcW w:type="dxa" w:w="3528"/>
            <w:vAlign w:val="center"/>
            <w:shd w:fill="FFFFFF"/>
            <w:tcMar>
              <w:top w:w="85" w:type="dxa"/>
              <w:left w:w="85" w:type="dxa"/>
              <w:bottom w:w="85" w:type="dxa"/>
              <w:right w:w="85" w:type="dxa"/>
            </w:tcMar>
          </w:tcPr>
          <w:p>
            <w:pPr>
              <w:spacing w:after="20" w:line="245" w:lineRule="auto"/>
            </w:pPr>
            <w:r>
              <w:rPr>
                <w:b w:val="0"/>
                <w:sz w:val="20"/>
              </w:rPr>
              <w:t>Name, designation, professional headline, photograph</w:t>
            </w:r>
          </w:p>
        </w:tc>
        <w:tc>
          <w:tcPr>
            <w:tcW w:type="dxa" w:w="4406"/>
            <w:vAlign w:val="center"/>
            <w:shd w:fill="FFFFFF"/>
            <w:tcMar>
              <w:top w:w="85" w:type="dxa"/>
              <w:left w:w="85" w:type="dxa"/>
              <w:bottom w:w="85" w:type="dxa"/>
              <w:right w:w="85" w:type="dxa"/>
            </w:tcMar>
          </w:tcPr>
          <w:p>
            <w:pPr>
              <w:spacing w:after="20" w:line="245" w:lineRule="auto"/>
            </w:pPr>
            <w:r>
              <w:rPr>
                <w:b w:val="0"/>
                <w:sz w:val="20"/>
              </w:rPr>
              <w:t>Name 2 to 120 characters; headline up to 160; professional title reviewed</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Summary</w:t>
            </w:r>
          </w:p>
        </w:tc>
        <w:tc>
          <w:tcPr>
            <w:tcW w:type="dxa" w:w="3528"/>
            <w:vAlign w:val="center"/>
            <w:shd w:fill="F0F4F6"/>
            <w:tcMar>
              <w:top w:w="85" w:type="dxa"/>
              <w:left w:w="85" w:type="dxa"/>
              <w:bottom w:w="85" w:type="dxa"/>
              <w:right w:w="85" w:type="dxa"/>
            </w:tcMar>
          </w:tcPr>
          <w:p>
            <w:pPr>
              <w:spacing w:after="20" w:line="245" w:lineRule="auto"/>
            </w:pPr>
            <w:r>
              <w:rPr>
                <w:b w:val="0"/>
                <w:sz w:val="20"/>
              </w:rPr>
              <w:t>About section and languages</w:t>
            </w:r>
          </w:p>
        </w:tc>
        <w:tc>
          <w:tcPr>
            <w:tcW w:type="dxa" w:w="4406"/>
            <w:vAlign w:val="center"/>
            <w:shd w:fill="F0F4F6"/>
            <w:tcMar>
              <w:top w:w="85" w:type="dxa"/>
              <w:left w:w="85" w:type="dxa"/>
              <w:bottom w:w="85" w:type="dxa"/>
              <w:right w:w="85" w:type="dxa"/>
            </w:tcMar>
          </w:tcPr>
          <w:p>
            <w:pPr>
              <w:spacing w:after="20" w:line="245" w:lineRule="auto"/>
            </w:pPr>
            <w:r>
              <w:rPr>
                <w:b w:val="0"/>
                <w:sz w:val="20"/>
              </w:rPr>
              <w:t>Plain or sanitised rich text, 100 to 3000 characters; no scripts or outcome guarantees</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Qualifications</w:t>
            </w:r>
          </w:p>
        </w:tc>
        <w:tc>
          <w:tcPr>
            <w:tcW w:type="dxa" w:w="3528"/>
            <w:vAlign w:val="center"/>
            <w:shd w:fill="FFFFFF"/>
            <w:tcMar>
              <w:top w:w="85" w:type="dxa"/>
              <w:left w:w="85" w:type="dxa"/>
              <w:bottom w:w="85" w:type="dxa"/>
              <w:right w:w="85" w:type="dxa"/>
            </w:tcMar>
          </w:tcPr>
          <w:p>
            <w:pPr>
              <w:spacing w:after="20" w:line="245" w:lineRule="auto"/>
            </w:pPr>
            <w:r>
              <w:rPr>
                <w:b w:val="0"/>
                <w:sz w:val="20"/>
              </w:rPr>
              <w:t>Degree, institution, completion year</w:t>
            </w:r>
          </w:p>
        </w:tc>
        <w:tc>
          <w:tcPr>
            <w:tcW w:type="dxa" w:w="4406"/>
            <w:vAlign w:val="center"/>
            <w:shd w:fill="FFFFFF"/>
            <w:tcMar>
              <w:top w:w="85" w:type="dxa"/>
              <w:left w:w="85" w:type="dxa"/>
              <w:bottom w:w="85" w:type="dxa"/>
              <w:right w:w="85" w:type="dxa"/>
            </w:tcMar>
          </w:tcPr>
          <w:p>
            <w:pPr>
              <w:spacing w:after="20" w:line="245" w:lineRule="auto"/>
            </w:pPr>
            <w:r>
              <w:rPr>
                <w:b w:val="0"/>
                <w:sz w:val="20"/>
              </w:rPr>
              <w:t>At least one qualification; year not in the future for completed qualifications; evidence private</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Registration</w:t>
            </w:r>
          </w:p>
        </w:tc>
        <w:tc>
          <w:tcPr>
            <w:tcW w:type="dxa" w:w="3528"/>
            <w:vAlign w:val="center"/>
            <w:shd w:fill="F0F4F6"/>
            <w:tcMar>
              <w:top w:w="85" w:type="dxa"/>
              <w:left w:w="85" w:type="dxa"/>
              <w:bottom w:w="85" w:type="dxa"/>
              <w:right w:w="85" w:type="dxa"/>
            </w:tcMar>
          </w:tcPr>
          <w:p>
            <w:pPr>
              <w:spacing w:after="20" w:line="245" w:lineRule="auto"/>
            </w:pPr>
            <w:r>
              <w:rPr>
                <w:b w:val="0"/>
                <w:sz w:val="20"/>
              </w:rPr>
              <w:t>Type, issuer, number or reviewed exception</w:t>
            </w:r>
          </w:p>
        </w:tc>
        <w:tc>
          <w:tcPr>
            <w:tcW w:type="dxa" w:w="4406"/>
            <w:vAlign w:val="center"/>
            <w:shd w:fill="F0F4F6"/>
            <w:tcMar>
              <w:top w:w="85" w:type="dxa"/>
              <w:left w:w="85" w:type="dxa"/>
              <w:bottom w:w="85" w:type="dxa"/>
              <w:right w:w="85" w:type="dxa"/>
            </w:tcMar>
          </w:tcPr>
          <w:p>
            <w:pPr>
              <w:spacing w:after="20" w:line="245" w:lineRule="auto"/>
            </w:pPr>
            <w:r>
              <w:rPr>
                <w:b w:val="0"/>
                <w:sz w:val="20"/>
              </w:rPr>
              <w:t>Number kept as text; status and source separate from self declaration</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Experience</w:t>
            </w:r>
          </w:p>
        </w:tc>
        <w:tc>
          <w:tcPr>
            <w:tcW w:type="dxa" w:w="3528"/>
            <w:vAlign w:val="center"/>
            <w:shd w:fill="FFFFFF"/>
            <w:tcMar>
              <w:top w:w="85" w:type="dxa"/>
              <w:left w:w="85" w:type="dxa"/>
              <w:bottom w:w="85" w:type="dxa"/>
              <w:right w:w="85" w:type="dxa"/>
            </w:tcMar>
          </w:tcPr>
          <w:p>
            <w:pPr>
              <w:spacing w:after="20" w:line="245" w:lineRule="auto"/>
            </w:pPr>
            <w:r>
              <w:rPr>
                <w:b w:val="0"/>
                <w:sz w:val="20"/>
              </w:rPr>
              <w:t>Role, organisation, start and optional end month</w:t>
            </w:r>
          </w:p>
        </w:tc>
        <w:tc>
          <w:tcPr>
            <w:tcW w:type="dxa" w:w="4406"/>
            <w:vAlign w:val="center"/>
            <w:shd w:fill="FFFFFF"/>
            <w:tcMar>
              <w:top w:w="85" w:type="dxa"/>
              <w:left w:w="85" w:type="dxa"/>
              <w:bottom w:w="85" w:type="dxa"/>
              <w:right w:w="85" w:type="dxa"/>
            </w:tcMar>
          </w:tcPr>
          <w:p>
            <w:pPr>
              <w:spacing w:after="20" w:line="245" w:lineRule="auto"/>
            </w:pPr>
            <w:r>
              <w:rPr>
                <w:b w:val="0"/>
                <w:sz w:val="20"/>
              </w:rPr>
              <w:t>Dates ordered; overlapping roles allowed; do not double count years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Expertise</w:t>
            </w:r>
          </w:p>
        </w:tc>
        <w:tc>
          <w:tcPr>
            <w:tcW w:type="dxa" w:w="3528"/>
            <w:vAlign w:val="center"/>
            <w:shd w:fill="F0F4F6"/>
            <w:tcMar>
              <w:top w:w="85" w:type="dxa"/>
              <w:left w:w="85" w:type="dxa"/>
              <w:bottom w:w="85" w:type="dxa"/>
              <w:right w:w="85" w:type="dxa"/>
            </w:tcMar>
          </w:tcPr>
          <w:p>
            <w:pPr>
              <w:spacing w:after="20" w:line="245" w:lineRule="auto"/>
            </w:pPr>
            <w:r>
              <w:rPr>
                <w:b w:val="0"/>
                <w:sz w:val="20"/>
              </w:rPr>
              <w:t>Primary and additional areas of practice</w:t>
            </w:r>
          </w:p>
        </w:tc>
        <w:tc>
          <w:tcPr>
            <w:tcW w:type="dxa" w:w="4406"/>
            <w:vAlign w:val="center"/>
            <w:shd w:fill="F0F4F6"/>
            <w:tcMar>
              <w:top w:w="85" w:type="dxa"/>
              <w:left w:w="85" w:type="dxa"/>
              <w:bottom w:w="85" w:type="dxa"/>
              <w:right w:w="85" w:type="dxa"/>
            </w:tcMar>
          </w:tcPr>
          <w:p>
            <w:pPr>
              <w:spacing w:after="20" w:line="245" w:lineRule="auto"/>
            </w:pPr>
            <w:r>
              <w:rPr>
                <w:b w:val="0"/>
                <w:sz w:val="20"/>
              </w:rPr>
              <w:t>Controlled taxonomy; claimed advanced credentials require supporting evidence</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Practice</w:t>
            </w:r>
          </w:p>
        </w:tc>
        <w:tc>
          <w:tcPr>
            <w:tcW w:type="dxa" w:w="3528"/>
            <w:vAlign w:val="center"/>
            <w:shd w:fill="FFFFFF"/>
            <w:tcMar>
              <w:top w:w="85" w:type="dxa"/>
              <w:left w:w="85" w:type="dxa"/>
              <w:bottom w:w="85" w:type="dxa"/>
              <w:right w:w="85" w:type="dxa"/>
            </w:tcMar>
          </w:tcPr>
          <w:p>
            <w:pPr>
              <w:spacing w:after="20" w:line="245" w:lineRule="auto"/>
            </w:pPr>
            <w:r>
              <w:rPr>
                <w:b w:val="0"/>
                <w:sz w:val="20"/>
              </w:rPr>
              <w:t>At least one approved branch and active service</w:t>
            </w:r>
          </w:p>
        </w:tc>
        <w:tc>
          <w:tcPr>
            <w:tcW w:type="dxa" w:w="4406"/>
            <w:vAlign w:val="center"/>
            <w:shd w:fill="FFFFFF"/>
            <w:tcMar>
              <w:top w:w="85" w:type="dxa"/>
              <w:left w:w="85" w:type="dxa"/>
              <w:bottom w:w="85" w:type="dxa"/>
              <w:right w:w="85" w:type="dxa"/>
            </w:tcMar>
          </w:tcPr>
          <w:p>
            <w:pPr>
              <w:spacing w:after="20" w:line="245" w:lineRule="auto"/>
            </w:pPr>
            <w:r>
              <w:rPr>
                <w:b w:val="0"/>
                <w:sz w:val="20"/>
              </w:rPr>
              <w:t>Address, locality, city, state, public contact, fee and appointment duration</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Optional portfolio</w:t>
            </w:r>
          </w:p>
        </w:tc>
        <w:tc>
          <w:tcPr>
            <w:tcW w:type="dxa" w:w="3528"/>
            <w:vAlign w:val="center"/>
            <w:shd w:fill="F0F4F6"/>
            <w:tcMar>
              <w:top w:w="85" w:type="dxa"/>
              <w:left w:w="85" w:type="dxa"/>
              <w:bottom w:w="85" w:type="dxa"/>
              <w:right w:w="85" w:type="dxa"/>
            </w:tcMar>
          </w:tcPr>
          <w:p>
            <w:pPr>
              <w:spacing w:after="20" w:line="245" w:lineRule="auto"/>
            </w:pPr>
            <w:r>
              <w:rPr>
                <w:b w:val="0"/>
                <w:sz w:val="20"/>
              </w:rPr>
              <w:t>Awards, certifications, memberships, publications, website and social links</w:t>
            </w:r>
          </w:p>
        </w:tc>
        <w:tc>
          <w:tcPr>
            <w:tcW w:type="dxa" w:w="4406"/>
            <w:vAlign w:val="center"/>
            <w:shd w:fill="F0F4F6"/>
            <w:tcMar>
              <w:top w:w="85" w:type="dxa"/>
              <w:left w:w="85" w:type="dxa"/>
              <w:bottom w:w="85" w:type="dxa"/>
              <w:right w:w="85" w:type="dxa"/>
            </w:tcMar>
          </w:tcPr>
          <w:p>
            <w:pPr>
              <w:spacing w:after="20" w:line="245" w:lineRule="auto"/>
            </w:pPr>
            <w:r>
              <w:rPr>
                <w:b w:val="0"/>
                <w:sz w:val="20"/>
              </w:rPr>
              <w:t>Issuer and date where applicable; links validated; no patient identifiable media</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Accessibility</w:t>
            </w:r>
          </w:p>
        </w:tc>
        <w:tc>
          <w:tcPr>
            <w:tcW w:type="dxa" w:w="3528"/>
            <w:vAlign w:val="center"/>
            <w:shd w:fill="FFFFFF"/>
            <w:tcMar>
              <w:top w:w="85" w:type="dxa"/>
              <w:left w:w="85" w:type="dxa"/>
              <w:bottom w:w="85" w:type="dxa"/>
              <w:right w:w="85" w:type="dxa"/>
            </w:tcMar>
          </w:tcPr>
          <w:p>
            <w:pPr>
              <w:spacing w:after="20" w:line="245" w:lineRule="auto"/>
            </w:pPr>
            <w:r>
              <w:rPr>
                <w:b w:val="0"/>
                <w:sz w:val="20"/>
              </w:rPr>
              <w:t>Clinic access, languages, facilities and optional practitioner gender</w:t>
            </w:r>
          </w:p>
        </w:tc>
        <w:tc>
          <w:tcPr>
            <w:tcW w:type="dxa" w:w="4406"/>
            <w:vAlign w:val="center"/>
            <w:shd w:fill="FFFFFF"/>
            <w:tcMar>
              <w:top w:w="85" w:type="dxa"/>
              <w:left w:w="85" w:type="dxa"/>
              <w:bottom w:w="85" w:type="dxa"/>
              <w:right w:w="85" w:type="dxa"/>
            </w:tcMar>
          </w:tcPr>
          <w:p>
            <w:pPr>
              <w:spacing w:after="20" w:line="245" w:lineRule="auto"/>
            </w:pPr>
            <w:r>
              <w:rPr>
                <w:b w:val="0"/>
                <w:sz w:val="20"/>
              </w:rPr>
              <w:t>No inferred identity attributes; clinic facilities maintained per branch</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Patient trust</w:t>
            </w:r>
          </w:p>
        </w:tc>
        <w:tc>
          <w:tcPr>
            <w:tcW w:type="dxa" w:w="3528"/>
            <w:vAlign w:val="center"/>
            <w:shd w:fill="F0F4F6"/>
            <w:tcMar>
              <w:top w:w="85" w:type="dxa"/>
              <w:left w:w="85" w:type="dxa"/>
              <w:bottom w:w="85" w:type="dxa"/>
              <w:right w:w="85" w:type="dxa"/>
            </w:tcMar>
          </w:tcPr>
          <w:p>
            <w:pPr>
              <w:spacing w:after="20" w:line="245" w:lineRule="auto"/>
            </w:pPr>
            <w:r>
              <w:rPr>
                <w:b w:val="0"/>
                <w:sz w:val="20"/>
              </w:rPr>
              <w:t>Verification details, reviews, booking and correction links</w:t>
            </w:r>
          </w:p>
        </w:tc>
        <w:tc>
          <w:tcPr>
            <w:tcW w:type="dxa" w:w="4406"/>
            <w:vAlign w:val="center"/>
            <w:shd w:fill="F0F4F6"/>
            <w:tcMar>
              <w:top w:w="85" w:type="dxa"/>
              <w:left w:w="85" w:type="dxa"/>
              <w:bottom w:w="85" w:type="dxa"/>
              <w:right w:w="85" w:type="dxa"/>
            </w:tcMar>
          </w:tcPr>
          <w:p>
            <w:pPr>
              <w:spacing w:after="20" w:line="245" w:lineRule="auto"/>
            </w:pPr>
            <w:r>
              <w:rPr>
                <w:b w:val="0"/>
                <w:sz w:val="20"/>
              </w:rPr>
              <w:t>System generated review counts; no editable self assigned ratings</w:t>
            </w:r>
          </w:p>
        </w:tc>
      </w:tr>
    </w:tbl>
    <w:p>
      <w:pPr>
        <w:spacing w:after="0" w:line="60" w:lineRule="exact"/>
      </w:pPr>
      <w:r>
        <w:rPr>
          <w:sz w:val="6"/>
        </w:rPr>
      </w:r>
    </w:p>
    <w:p>
      <w:pPr>
        <w:pStyle w:val="Heading2"/>
      </w:pPr>
      <w:r>
        <w:t>Presentation and versioning</w:t>
      </w:r>
    </w:p>
    <w:p>
      <w:r>
        <w:rPr>
          <w:b w:val="0"/>
        </w:rPr>
      </w:r>
      <w:r>
        <w:rPr>
          <w:b/>
        </w:rPr>
        <w:t>PRO-09</w:t>
      </w:r>
      <w:r>
        <w:rPr>
          <w:b w:val="0"/>
        </w:rPr>
        <w:t xml:space="preserve"> Display sections for overview, expertise, experience, education, registrations, clinics, services, availability, reviews and optional achievements. Hide empty optional sections. Use professional LinkedIn like depth without a social feed or unsupported endorsements.</w:t>
      </w:r>
    </w:p>
    <w:p>
      <w:r>
        <w:rPr>
          <w:b w:val="0"/>
        </w:rPr>
      </w:r>
      <w:r>
        <w:rPr>
          <w:b/>
        </w:rPr>
        <w:t>PRO-10</w:t>
      </w:r>
      <w:r>
        <w:rPr>
          <w:b w:val="0"/>
        </w:rPr>
        <w:t xml:space="preserve"> Store drafts independently of the published version. Publish only the approved field set and media. Escape or sanitise all public content. Preserve version history with actor, changed fields and moderation outcome.</w:t>
      </w:r>
    </w:p>
    <w:p>
      <w:r>
        <w:rPr>
          <w:b w:val="0"/>
        </w:rPr>
      </w:r>
      <w:r>
        <w:rPr>
          <w:b/>
        </w:rPr>
        <w:t>PRO-11</w:t>
      </w:r>
      <w:r>
        <w:rPr>
          <w:b w:val="0"/>
        </w:rPr>
        <w:t xml:space="preserve"> Display experience as self declared or calculate from an approved practice start date with a clear rule. Do not sum concurrent roles. Fees, registration validity and clinic associations shall show current information; stale credentials shall not remain verified through a cached page.</w:t>
      </w:r>
    </w:p>
    <w:p>
      <w:r>
        <w:rPr>
          <w:b w:val="0"/>
        </w:rPr>
      </w:r>
      <w:r>
        <w:rPr>
          <w:b/>
        </w:rPr>
        <w:t>PRO-12</w:t>
      </w:r>
      <w:r>
        <w:rPr>
          <w:b w:val="0"/>
        </w:rPr>
        <w:t xml:space="preserve"> Profile media shall require ownership or permission confirmation, meaningful alternative text, safe file type validation and moderation. Remove location metadata from public images. Certificates and identity documents shall never be published as portfolio images.</w:t>
      </w:r>
    </w:p>
    <w:p>
      <w:pPr>
        <w:pStyle w:val="Heading1"/>
      </w:pPr>
      <w:r>
        <w:t>8 Clinics and service offerings</w:t>
      </w:r>
    </w:p>
    <w:p>
      <w:pPr>
        <w:pStyle w:val="Heading2"/>
      </w:pPr>
      <w:r>
        <w:t>Clinic and branch structure</w:t>
      </w:r>
    </w:p>
    <w:p>
      <w:r>
        <w:rPr>
          <w:b w:val="0"/>
        </w:rPr>
      </w:r>
      <w:r>
        <w:rPr>
          <w:b/>
        </w:rPr>
        <w:t>LOC-01</w:t>
      </w:r>
      <w:r>
        <w:rPr>
          <w:b w:val="0"/>
        </w:rPr>
        <w:t xml:space="preserve"> A clinic shall have a name, optional legal organisation, public contact and one or more branches. A branch shall have a complete address, state, city, locality, PIN code, optional geocoordinates, working hours, accessibility information and directions. PIN codes shall be six digit strings; a PIN code is not a unique city or locality identifier.</w:t>
      </w:r>
    </w:p>
    <w:p>
      <w:r>
        <w:rPr>
          <w:b w:val="0"/>
        </w:rPr>
      </w:r>
      <w:r>
        <w:rPr>
          <w:b/>
        </w:rPr>
        <w:t>LOC-02</w:t>
      </w:r>
      <w:r>
        <w:rPr>
          <w:b w:val="0"/>
        </w:rPr>
        <w:t xml:space="preserve"> Model a practitioner to branch association with start and end dates, approval state, public contact rules and bookability. One practitioner may work at many branches; one branch may host many practitioners. Ending an association shall stop new bookings at that branch and create a task for future appointments.</w:t>
      </w:r>
    </w:p>
    <w:p>
      <w:r>
        <w:rPr>
          <w:b w:val="0"/>
        </w:rPr>
      </w:r>
      <w:r>
        <w:rPr>
          <w:b/>
        </w:rPr>
        <w:t>LOC-03</w:t>
      </w:r>
      <w:r>
        <w:rPr>
          <w:b w:val="0"/>
        </w:rPr>
        <w:t xml:space="preserve"> Clinic ownership and practitioner affiliation shall be reviewed separately. A clinic coordinator may edit only approved scope. Public clinic hours shall not be treated as a practitioner's availability.</w:t>
      </w:r>
    </w:p>
    <w:p>
      <w:pPr>
        <w:pStyle w:val="Heading2"/>
      </w:pPr>
      <w:r>
        <w:t>Offering configuration</w:t>
      </w:r>
    </w:p>
    <w:p>
      <w:r>
        <w:rPr>
          <w:b w:val="0"/>
        </w:rPr>
      </w:r>
      <w:r>
        <w:rPr>
          <w:b/>
        </w:rPr>
        <w:t>CAL-02</w:t>
      </w:r>
      <w:r>
        <w:rPr>
          <w:b w:val="0"/>
        </w:rPr>
        <w:t xml:space="preserve"> An offering shall link one practitioner, one service and one branch for clinic mode. Required values are display name, mode, duration, slot start interval, before and after buffers, fee in paise, active dates, booking horizon, notice period, cancellation policy version and booking mode. Store configuration changes as effective dated versions.</w:t>
      </w:r>
    </w:p>
    <w:p>
      <w:r>
        <w:rPr>
          <w:b w:val="0"/>
        </w:rPr>
      </w:r>
      <w:r>
        <w:rPr>
          <w:b/>
        </w:rPr>
        <w:t>CAL-03</w:t>
      </w:r>
      <w:r>
        <w:rPr>
          <w:b w:val="0"/>
        </w:rPr>
        <w:t xml:space="preserve"> Proposed launch defaults are 30 minute duration, 15 minute start interval, zero before buffer, 10 minute after buffer, two hour minimum notice and a 60 day booking horizon. Providers may change values within admin configured bounds. The platform shall validate duration, buffers and start interval independently.</w:t>
      </w:r>
    </w:p>
    <w:p>
      <w:r>
        <w:rPr>
          <w:b w:val="0"/>
        </w:rPr>
      </w:r>
      <w:r>
        <w:rPr>
          <w:b/>
        </w:rPr>
        <w:t>OFR-01</w:t>
      </w:r>
      <w:r>
        <w:rPr>
          <w:b w:val="0"/>
        </w:rPr>
        <w:t xml:space="preserve"> Show whether a price applies to an initial assessment or follow up, its duration, included service, taxes or extra charges and any offer conditions. A starting fee on a profile shall link to the offering that supports that amount. Do not publish an offer price for an unavailable service.</w:t>
      </w:r>
    </w:p>
    <w:p>
      <w:pPr>
        <w:pStyle w:val="Heading2"/>
      </w:pPr>
      <w:r>
        <w:t>Future service modes</w:t>
      </w:r>
    </w:p>
    <w:p>
      <w:r>
        <w:rPr>
          <w:b w:val="0"/>
        </w:rPr>
      </w:r>
      <w:r>
        <w:rPr>
          <w:b/>
        </w:rPr>
        <w:t>LOC-04 R1</w:t>
      </w:r>
      <w:r>
        <w:rPr>
          <w:b w:val="0"/>
        </w:rPr>
        <w:t xml:space="preserve"> Home visits shall have a service area, address confirmation, travel charge and buffers, with booking disabled outside coverage. Exact patient addresses shall be visible only to assigned staff after booking. Route planning is separate from locality search.</w:t>
      </w:r>
    </w:p>
    <w:p>
      <w:r>
        <w:rPr>
          <w:b w:val="0"/>
        </w:rPr>
      </w:r>
      <w:r>
        <w:rPr>
          <w:b/>
        </w:rPr>
        <w:t>CAL-04 R1</w:t>
      </w:r>
      <w:r>
        <w:rPr>
          <w:b w:val="0"/>
        </w:rPr>
        <w:t xml:space="preserve"> Online sessions shall use a distinct offering and approved consultation workflow. Enabling an online mode shall not automatically create a video service or satisfy professional practice requirements.</w:t>
      </w:r>
    </w:p>
    <w:p>
      <w:pPr>
        <w:pStyle w:val="Heading2"/>
      </w:pPr>
      <w:r>
        <w:t>Capacity policy</w:t>
      </w:r>
    </w:p>
    <w:p>
      <w:r>
        <w:rPr>
          <w:b w:val="0"/>
        </w:rPr>
        <w:t>The launch unit of capacity is one physiotherapist. Rooms and equipment are informational only. Group sessions, assistant substitution and shared resource capacity require an additional resource allocation model before release; raising a numeric capacity field shall not bypass practitioner overlap protection.</w:t>
      </w:r>
    </w:p>
    <w:p>
      <w:pPr>
        <w:pStyle w:val="Heading1"/>
      </w:pPr>
      <w:r>
        <w:t>9 Geography and search behaviour</w:t>
      </w:r>
    </w:p>
    <w:p>
      <w:pPr>
        <w:pStyle w:val="Heading2"/>
      </w:pPr>
      <w:r>
        <w:t>Geographic master data</w:t>
      </w:r>
    </w:p>
    <w:p>
      <w:r>
        <w:rPr>
          <w:b w:val="0"/>
        </w:rPr>
      </w:r>
      <w:r>
        <w:rPr>
          <w:b/>
        </w:rPr>
        <w:t>DIR-07</w:t>
      </w:r>
      <w:r>
        <w:rPr>
          <w:b w:val="0"/>
        </w:rPr>
        <w:t xml:space="preserve"> Maintain states and union territories, optional administrative districts, cities and localities as controlled records with stable IDs, status and aliases. Cities belong to a state; localities belong to a city. Retain district mappings when available without forcing the user to browse by district.</w:t>
      </w:r>
    </w:p>
    <w:p>
      <w:r>
        <w:rPr>
          <w:b w:val="0"/>
        </w:rPr>
      </w:r>
      <w:r>
        <w:rPr>
          <w:b/>
        </w:rPr>
        <w:t>DIR-08</w:t>
      </w:r>
      <w:r>
        <w:rPr>
          <w:b w:val="0"/>
        </w:rPr>
        <w:t xml:space="preserve"> Support aliases such as Bengaluru and Bangalore, spelling variants and renamed locations. An alias resolves to one canonical record or prompts disambiguation. New localities proposed during onboarding shall enter a review queue instead of silently creating duplicate SEO pages.</w:t>
      </w:r>
    </w:p>
    <w:p>
      <w:r>
        <w:rPr>
          <w:b w:val="0"/>
        </w:rPr>
      </w:r>
      <w:r>
        <w:rPr>
          <w:b/>
        </w:rPr>
        <w:t>DIR-09</w:t>
      </w:r>
      <w:r>
        <w:rPr>
          <w:b w:val="0"/>
        </w:rPr>
        <w:t xml:space="preserve"> Store branch coordinates separately from administrative hierarchy. A near me query requires consent and shall disclose approximate distance. Denying location access shall not block search. Do not retain precise visitor location as an account attribute unless specifically needed and consented.</w:t>
      </w:r>
    </w:p>
    <w:p>
      <w:pPr>
        <w:pStyle w:val="Heading2"/>
      </w:pPr>
      <w:r>
        <w:t>Search contract</w:t>
      </w:r>
    </w:p>
    <w:p>
      <w:r>
        <w:rPr>
          <w:b w:val="0"/>
        </w:rPr>
      </w:r>
      <w:r>
        <w:rPr>
          <w:b/>
        </w:rPr>
        <w:t>DIR-10</w:t>
      </w:r>
      <w:r>
        <w:rPr>
          <w:b w:val="0"/>
        </w:rPr>
        <w:t xml:space="preserve"> Search shall accept practitioner or clinic name, location, specialty and service. Filters shall include state, city, locality, radius when coordinates exist, specialty, language, clinic service mode, fee range, availability date and verification category. Gender is an optional self declared preference filter, with an unset state supported.</w:t>
      </w:r>
    </w:p>
    <w:p>
      <w:r>
        <w:rPr>
          <w:b w:val="0"/>
        </w:rPr>
      </w:r>
      <w:r>
        <w:rPr>
          <w:b/>
        </w:rPr>
        <w:t>DIR-11</w:t>
      </w:r>
      <w:r>
        <w:rPr>
          <w:b w:val="0"/>
        </w:rPr>
        <w:t xml:space="preserve"> Results shall include only publicly approved, non suspended profiles. A search by locality shall include practitioners with an active branch in that locality. Return one practitioner card, showing the best matching branch and additional matching branches, rather than duplicate cards for each clinic.</w:t>
      </w:r>
    </w:p>
    <w:p>
      <w:r>
        <w:rPr>
          <w:b w:val="0"/>
        </w:rPr>
      </w:r>
      <w:r>
        <w:rPr>
          <w:b/>
        </w:rPr>
        <w:t>DIR-12</w:t>
      </w:r>
      <w:r>
        <w:rPr>
          <w:b w:val="0"/>
        </w:rPr>
        <w:t xml:space="preserve"> Default ordering shall use match relevance, selected location, bookable availability and a stable public identifier tie break. Offer explicit next available, distance and fee sort options. Document the ranking version. Discounts and advertising shall not silently change organic relevance; future sponsored positions require a visible label.</w:t>
      </w:r>
    </w:p>
    <w:p>
      <w:r>
        <w:rPr>
          <w:b w:val="0"/>
        </w:rPr>
      </w:r>
      <w:r>
        <w:rPr>
          <w:b/>
        </w:rPr>
        <w:t>DIR-13</w:t>
      </w:r>
      <w:r>
        <w:rPr>
          <w:b w:val="0"/>
        </w:rPr>
        <w:t xml:space="preserve"> Return 20 cards per page by default, capped at 50. Preserve filters in the URL. Cursor based APIs shall use stable ordering. Search results and directory page counts may be briefly cached; slot confirmation must always revalidate availability.</w:t>
      </w:r>
    </w:p>
    <w:p>
      <w:pPr>
        <w:pStyle w:val="Heading2"/>
      </w:pPr>
      <w:r>
        <w:t>Edge cases and geography governance</w:t>
      </w:r>
    </w:p>
    <w:p>
      <w:r>
        <w:rPr>
          <w:b w:val="0"/>
        </w:rPr>
      </w:r>
      <w:r>
        <w:rPr>
          <w:b/>
        </w:rPr>
        <w:t>DIR-14</w:t>
      </w:r>
      <w:r>
        <w:rPr>
          <w:b w:val="0"/>
        </w:rPr>
        <w:t xml:space="preserve"> Empty results shall offer adjacent localities or broader city filters and clearly identify the changed scope. The system shall not invent practitioners or claim local coverage where no approved profiles exist.</w:t>
      </w:r>
    </w:p>
    <w:p>
      <w:r>
        <w:rPr>
          <w:b w:val="0"/>
        </w:rPr>
      </w:r>
      <w:r>
        <w:rPr>
          <w:b/>
        </w:rPr>
        <w:t>DIR-15</w:t>
      </w:r>
      <w:r>
        <w:rPr>
          <w:b w:val="0"/>
        </w:rPr>
        <w:t xml:space="preserve"> Admin merge actions shall retain old slugs as redirects and move relationships transactionally. Moving a branch to another locality changes its discovery placement without creating a second practitioner identity. Keep inactive geographic records for historical bookings and exclude them from new selections.</w:t>
      </w:r>
    </w:p>
    <w:p>
      <w:pPr>
        <w:pStyle w:val="Heading1"/>
      </w:pPr>
      <w:r>
        <w:t>10 Availability and calendar rules</w:t>
      </w:r>
    </w:p>
    <w:p>
      <w:pPr>
        <w:pStyle w:val="Heading2"/>
      </w:pPr>
      <w:r>
        <w:t>Schedule inputs</w:t>
      </w:r>
    </w:p>
    <w:p>
      <w:r>
        <w:rPr>
          <w:b w:val="0"/>
        </w:rPr>
      </w:r>
      <w:r>
        <w:rPr>
          <w:b/>
        </w:rPr>
        <w:t>CAL-05</w:t>
      </w:r>
      <w:r>
        <w:rPr>
          <w:b w:val="0"/>
        </w:rPr>
        <w:t xml:space="preserve"> Practitioners shall create weekly recurring windows per branch and offering, effective date ranges, one time extra hours, leave, holidays and manual blocks. All entry screens shall identify the timezone. Future external busy periods shall be a distinct source, not edits to the original schedule.</w:t>
      </w:r>
    </w:p>
    <w:p>
      <w:r>
        <w:rPr>
          <w:b w:val="0"/>
        </w:rPr>
      </w:r>
      <w:r>
        <w:rPr>
          <w:b/>
        </w:rPr>
        <w:t>CAL-06</w:t>
      </w:r>
      <w:r>
        <w:rPr>
          <w:b w:val="0"/>
        </w:rPr>
        <w:t xml:space="preserve"> Schedule precedence shall be: suspension or offering closure; leave and manual blocks; existing reservations including buffers; date specific overrides; recurring windows. An explicit date override replaces recurring hours for that date. An empty override means closed, not missing data.</w:t>
      </w:r>
    </w:p>
    <w:p>
      <w:r>
        <w:rPr>
          <w:b w:val="0"/>
        </w:rPr>
      </w:r>
      <w:r>
        <w:rPr>
          <w:b/>
        </w:rPr>
        <w:t>CAL-07</w:t>
      </w:r>
      <w:r>
        <w:rPr>
          <w:b w:val="0"/>
        </w:rPr>
        <w:t xml:space="preserve"> Availability shall be calculated from schedule rules and exceptions, service duration, start interval, buffers, notice period, booking horizon and active reservations across every branch. Start and end instants must fall within the allowed service window, including required buffers. Touching half open intervals may coexist when their buffers do not overlap.</w:t>
      </w:r>
    </w:p>
    <w:p>
      <w:pPr>
        <w:pStyle w:val="Heading2"/>
      </w:pPr>
      <w:r>
        <w:t>Slot construction example</w:t>
      </w:r>
    </w:p>
    <w:p>
      <w:r>
        <w:rPr>
          <w:b w:val="0"/>
        </w:rPr>
        <w:t>A service window of 09:00 to 12:00, a 30 minute appointment, a 15 minute start interval and a 10 minute after buffer permits starts from 09:00 through 11:15. An 11:30 start is invalid because the occupied interval ends at 12:10. A 10:00 booking blocks the same practitioner until 10:40, including at another clinic.</w:t>
      </w:r>
    </w:p>
    <w:p>
      <w:r>
        <w:rPr>
          <w:b w:val="0"/>
        </w:rPr>
      </w:r>
      <w:r>
        <w:rPr>
          <w:b/>
        </w:rPr>
        <w:t>CAL-08</w:t>
      </w:r>
      <w:r>
        <w:rPr>
          <w:b w:val="0"/>
        </w:rPr>
        <w:t xml:space="preserve"> Display appointment time separately from the internal occupied interval. Internal buffers shall affect availability but shall not lengthen the patient facing appointment unless explicitly part of the service. Minimum notice is measured from server time to appointment start.</w:t>
      </w:r>
    </w:p>
    <w:p>
      <w:pPr>
        <w:pStyle w:val="Heading2"/>
      </w:pPr>
      <w:r>
        <w:t>Publishing and updating</w:t>
      </w:r>
    </w:p>
    <w:p>
      <w:r>
        <w:rPr>
          <w:b w:val="0"/>
        </w:rPr>
      </w:r>
      <w:r>
        <w:rPr>
          <w:b/>
        </w:rPr>
        <w:t>CAL-09</w:t>
      </w:r>
      <w:r>
        <w:rPr>
          <w:b w:val="0"/>
        </w:rPr>
        <w:t xml:space="preserve"> A schedule edit shall preview affected future bookings. It shall not automatically move or cancel confirmed appointments. Reducing availability preserves existing bookings as exceptions and creates resolution tasks if a practitioner can no longer honour them. New reservations must use the latest schedule version.</w:t>
      </w:r>
    </w:p>
    <w:p>
      <w:r>
        <w:rPr>
          <w:b w:val="0"/>
        </w:rPr>
      </w:r>
      <w:r>
        <w:rPr>
          <w:b/>
        </w:rPr>
        <w:t>CAL-10</w:t>
      </w:r>
      <w:r>
        <w:rPr>
          <w:b w:val="0"/>
        </w:rPr>
        <w:t xml:space="preserve"> Public calendars shall reveal only bookable slots, never patient names, blocked event titles or appointment reasons. Provider calendars shall support day, week and agenda views with accessible list alternatives.</w:t>
      </w:r>
    </w:p>
    <w:p>
      <w:r>
        <w:rPr>
          <w:b w:val="0"/>
        </w:rPr>
      </w:r>
      <w:r>
        <w:rPr>
          <w:b/>
        </w:rPr>
        <w:t>CAL-11</w:t>
      </w:r>
      <w:r>
        <w:rPr>
          <w:b w:val="0"/>
        </w:rPr>
        <w:t xml:space="preserve"> Slot responses shall include the offering ID, UTC start and end, display timezone, price reference and schedule version. Cached availability is advisory. Show a friendly conflict message and refreshed alternatives when another patient takes the slot.</w:t>
      </w:r>
    </w:p>
    <w:p>
      <w:r>
        <w:rPr>
          <w:b w:val="0"/>
        </w:rPr>
      </w:r>
      <w:r>
        <w:rPr>
          <w:b/>
        </w:rPr>
        <w:t>CAL-12 R1</w:t>
      </w:r>
      <w:r>
        <w:rPr>
          <w:b w:val="0"/>
        </w:rPr>
        <w:t xml:space="preserve"> External calendar sync shall initially import busy periods only, with explicit OAuth consent, encrypted tokens, revocation and sync health indicators. Because external systems can change concurrently, disclose the limitation and require conflict review. No two way sync is included in launch estimates.</w:t>
      </w:r>
    </w:p>
    <w:p>
      <w:pPr>
        <w:pStyle w:val="Heading1"/>
      </w:pPr>
      <w:r>
        <w:t>11 Booking lifecycle and states</w:t>
      </w:r>
    </w:p>
    <w:p>
      <w:pPr>
        <w:pStyle w:val="Heading2"/>
      </w:pPr>
      <w:r>
        <w:t>Reservation and booking separation</w:t>
      </w:r>
    </w:p>
    <w:p>
      <w:r>
        <w:rPr>
          <w:b w:val="0"/>
        </w:rPr>
      </w:r>
      <w:r>
        <w:rPr>
          <w:b/>
        </w:rPr>
        <w:t>BKG-01</w:t>
      </w:r>
      <w:r>
        <w:rPr>
          <w:b w:val="0"/>
        </w:rPr>
        <w:t xml:space="preserve"> The system shall keep a short lived reservation separate from a booking. A reservation may be held, committed or released; its expiry uses database time. Only a committed booking is shown as confirmed. Failed validation shall release the hold or allow it to expire safely.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Booking state</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Allowed next states</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Capacity and actor rule</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Confirmed</w:t>
            </w:r>
          </w:p>
        </w:tc>
        <w:tc>
          <w:tcPr>
            <w:tcW w:type="dxa" w:w="3528"/>
            <w:vAlign w:val="center"/>
            <w:shd w:fill="FFFFFF"/>
            <w:tcMar>
              <w:top w:w="85" w:type="dxa"/>
              <w:left w:w="85" w:type="dxa"/>
              <w:bottom w:w="85" w:type="dxa"/>
              <w:right w:w="85" w:type="dxa"/>
            </w:tcMar>
          </w:tcPr>
          <w:p>
            <w:pPr>
              <w:spacing w:after="20" w:line="245" w:lineRule="auto"/>
            </w:pPr>
            <w:r>
              <w:rPr>
                <w:b w:val="0"/>
                <w:sz w:val="20"/>
              </w:rPr>
              <w:t>Completed, patient cancelled, provider cancelled, no show</w:t>
            </w:r>
          </w:p>
        </w:tc>
        <w:tc>
          <w:tcPr>
            <w:tcW w:type="dxa" w:w="4406"/>
            <w:vAlign w:val="center"/>
            <w:shd w:fill="FFFFFF"/>
            <w:tcMar>
              <w:top w:w="85" w:type="dxa"/>
              <w:left w:w="85" w:type="dxa"/>
              <w:bottom w:w="85" w:type="dxa"/>
              <w:right w:w="85" w:type="dxa"/>
            </w:tcMar>
          </w:tcPr>
          <w:p>
            <w:pPr>
              <w:spacing w:after="20" w:line="245" w:lineRule="auto"/>
            </w:pPr>
            <w:r>
              <w:rPr>
                <w:b w:val="0"/>
                <w:sz w:val="20"/>
              </w:rPr>
              <w:t>Occupies practitioner interval; changes by permitted actor</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Completed</w:t>
            </w:r>
          </w:p>
        </w:tc>
        <w:tc>
          <w:tcPr>
            <w:tcW w:type="dxa" w:w="3528"/>
            <w:vAlign w:val="center"/>
            <w:shd w:fill="F0F4F6"/>
            <w:tcMar>
              <w:top w:w="85" w:type="dxa"/>
              <w:left w:w="85" w:type="dxa"/>
              <w:bottom w:w="85" w:type="dxa"/>
              <w:right w:w="85" w:type="dxa"/>
            </w:tcMar>
          </w:tcPr>
          <w:p>
            <w:pPr>
              <w:spacing w:after="20" w:line="245" w:lineRule="auto"/>
            </w:pPr>
            <w:r>
              <w:rPr>
                <w:b w:val="0"/>
                <w:sz w:val="20"/>
              </w:rPr>
              <w:t>Corrected through audited admin workflow</w:t>
            </w:r>
          </w:p>
        </w:tc>
        <w:tc>
          <w:tcPr>
            <w:tcW w:type="dxa" w:w="4406"/>
            <w:vAlign w:val="center"/>
            <w:shd w:fill="F0F4F6"/>
            <w:tcMar>
              <w:top w:w="85" w:type="dxa"/>
              <w:left w:w="85" w:type="dxa"/>
              <w:bottom w:w="85" w:type="dxa"/>
              <w:right w:w="85" w:type="dxa"/>
            </w:tcMar>
          </w:tcPr>
          <w:p>
            <w:pPr>
              <w:spacing w:after="20" w:line="245" w:lineRule="auto"/>
            </w:pPr>
            <w:r>
              <w:rPr>
                <w:b w:val="0"/>
                <w:sz w:val="20"/>
              </w:rPr>
              <w:t>Terminal; recorded after appointment end, never inferred solely from time</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Patient cancelled</w:t>
            </w:r>
          </w:p>
        </w:tc>
        <w:tc>
          <w:tcPr>
            <w:tcW w:type="dxa" w:w="3528"/>
            <w:vAlign w:val="center"/>
            <w:shd w:fill="FFFFFF"/>
            <w:tcMar>
              <w:top w:w="85" w:type="dxa"/>
              <w:left w:w="85" w:type="dxa"/>
              <w:bottom w:w="85" w:type="dxa"/>
              <w:right w:w="85" w:type="dxa"/>
            </w:tcMar>
          </w:tcPr>
          <w:p>
            <w:pPr>
              <w:spacing w:after="20" w:line="245" w:lineRule="auto"/>
            </w:pPr>
            <w:r>
              <w:rPr>
                <w:b w:val="0"/>
                <w:sz w:val="20"/>
              </w:rPr>
              <w:t>None in normal flow</w:t>
            </w:r>
          </w:p>
        </w:tc>
        <w:tc>
          <w:tcPr>
            <w:tcW w:type="dxa" w:w="4406"/>
            <w:vAlign w:val="center"/>
            <w:shd w:fill="FFFFFF"/>
            <w:tcMar>
              <w:top w:w="85" w:type="dxa"/>
              <w:left w:w="85" w:type="dxa"/>
              <w:bottom w:w="85" w:type="dxa"/>
              <w:right w:w="85" w:type="dxa"/>
            </w:tcMar>
          </w:tcPr>
          <w:p>
            <w:pPr>
              <w:spacing w:after="20" w:line="245" w:lineRule="auto"/>
            </w:pPr>
            <w:r>
              <w:rPr>
                <w:b w:val="0"/>
                <w:sz w:val="20"/>
              </w:rPr>
              <w:t>Releases capacity; patient or authorised support records reason</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Provider cancelled</w:t>
            </w:r>
          </w:p>
        </w:tc>
        <w:tc>
          <w:tcPr>
            <w:tcW w:type="dxa" w:w="3528"/>
            <w:vAlign w:val="center"/>
            <w:shd w:fill="F0F4F6"/>
            <w:tcMar>
              <w:top w:w="85" w:type="dxa"/>
              <w:left w:w="85" w:type="dxa"/>
              <w:bottom w:w="85" w:type="dxa"/>
              <w:right w:w="85" w:type="dxa"/>
            </w:tcMar>
          </w:tcPr>
          <w:p>
            <w:pPr>
              <w:spacing w:after="20" w:line="245" w:lineRule="auto"/>
            </w:pPr>
            <w:r>
              <w:rPr>
                <w:b w:val="0"/>
                <w:sz w:val="20"/>
              </w:rPr>
              <w:t>None in normal flow</w:t>
            </w:r>
          </w:p>
        </w:tc>
        <w:tc>
          <w:tcPr>
            <w:tcW w:type="dxa" w:w="4406"/>
            <w:vAlign w:val="center"/>
            <w:shd w:fill="F0F4F6"/>
            <w:tcMar>
              <w:top w:w="85" w:type="dxa"/>
              <w:left w:w="85" w:type="dxa"/>
              <w:bottom w:w="85" w:type="dxa"/>
              <w:right w:w="85" w:type="dxa"/>
            </w:tcMar>
          </w:tcPr>
          <w:p>
            <w:pPr>
              <w:spacing w:after="20" w:line="245" w:lineRule="auto"/>
            </w:pPr>
            <w:r>
              <w:rPr>
                <w:b w:val="0"/>
                <w:sz w:val="20"/>
              </w:rPr>
              <w:t>Releases capacity; provider or admin records reason and notifies patient</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No show</w:t>
            </w:r>
          </w:p>
        </w:tc>
        <w:tc>
          <w:tcPr>
            <w:tcW w:type="dxa" w:w="3528"/>
            <w:vAlign w:val="center"/>
            <w:shd w:fill="FFFFFF"/>
            <w:tcMar>
              <w:top w:w="85" w:type="dxa"/>
              <w:left w:w="85" w:type="dxa"/>
              <w:bottom w:w="85" w:type="dxa"/>
              <w:right w:w="85" w:type="dxa"/>
            </w:tcMar>
          </w:tcPr>
          <w:p>
            <w:pPr>
              <w:spacing w:after="20" w:line="245" w:lineRule="auto"/>
            </w:pPr>
            <w:r>
              <w:rPr>
                <w:b w:val="0"/>
                <w:sz w:val="20"/>
              </w:rPr>
              <w:t>Corrected through audited admin workflow</w:t>
            </w:r>
          </w:p>
        </w:tc>
        <w:tc>
          <w:tcPr>
            <w:tcW w:type="dxa" w:w="4406"/>
            <w:vAlign w:val="center"/>
            <w:shd w:fill="FFFFFF"/>
            <w:tcMar>
              <w:top w:w="85" w:type="dxa"/>
              <w:left w:w="85" w:type="dxa"/>
              <w:bottom w:w="85" w:type="dxa"/>
              <w:right w:w="85" w:type="dxa"/>
            </w:tcMar>
          </w:tcPr>
          <w:p>
            <w:pPr>
              <w:spacing w:after="20" w:line="245" w:lineRule="auto"/>
            </w:pPr>
            <w:r>
              <w:rPr>
                <w:b w:val="0"/>
                <w:sz w:val="20"/>
              </w:rPr>
              <w:t>May be recorded after a configurable grace period; proposed 15 minutes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Requested R1</w:t>
            </w:r>
          </w:p>
        </w:tc>
        <w:tc>
          <w:tcPr>
            <w:tcW w:type="dxa" w:w="3528"/>
            <w:vAlign w:val="center"/>
            <w:shd w:fill="F0F4F6"/>
            <w:tcMar>
              <w:top w:w="85" w:type="dxa"/>
              <w:left w:w="85" w:type="dxa"/>
              <w:bottom w:w="85" w:type="dxa"/>
              <w:right w:w="85" w:type="dxa"/>
            </w:tcMar>
          </w:tcPr>
          <w:p>
            <w:pPr>
              <w:spacing w:after="20" w:line="245" w:lineRule="auto"/>
            </w:pPr>
            <w:r>
              <w:rPr>
                <w:b w:val="0"/>
                <w:sz w:val="20"/>
              </w:rPr>
              <w:t>Confirmed, declined, expired, patient cancelled</w:t>
            </w:r>
          </w:p>
        </w:tc>
        <w:tc>
          <w:tcPr>
            <w:tcW w:type="dxa" w:w="4406"/>
            <w:vAlign w:val="center"/>
            <w:shd w:fill="F0F4F6"/>
            <w:tcMar>
              <w:top w:w="85" w:type="dxa"/>
              <w:left w:w="85" w:type="dxa"/>
              <w:bottom w:w="85" w:type="dxa"/>
              <w:right w:w="85" w:type="dxa"/>
            </w:tcMar>
          </w:tcPr>
          <w:p>
            <w:pPr>
              <w:spacing w:after="20" w:line="245" w:lineRule="auto"/>
            </w:pPr>
            <w:r>
              <w:rPr>
                <w:b w:val="0"/>
                <w:sz w:val="20"/>
              </w:rPr>
              <w:t>Reserves capacity only until configured response deadline</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Declined or expired R1</w:t>
            </w:r>
          </w:p>
        </w:tc>
        <w:tc>
          <w:tcPr>
            <w:tcW w:type="dxa" w:w="3528"/>
            <w:vAlign w:val="center"/>
            <w:shd w:fill="FFFFFF"/>
            <w:tcMar>
              <w:top w:w="85" w:type="dxa"/>
              <w:left w:w="85" w:type="dxa"/>
              <w:bottom w:w="85" w:type="dxa"/>
              <w:right w:w="85" w:type="dxa"/>
            </w:tcMar>
          </w:tcPr>
          <w:p>
            <w:pPr>
              <w:spacing w:after="20" w:line="245" w:lineRule="auto"/>
            </w:pPr>
            <w:r>
              <w:rPr>
                <w:b w:val="0"/>
                <w:sz w:val="20"/>
              </w:rPr>
              <w:t>None in normal flow</w:t>
            </w:r>
          </w:p>
        </w:tc>
        <w:tc>
          <w:tcPr>
            <w:tcW w:type="dxa" w:w="4406"/>
            <w:vAlign w:val="center"/>
            <w:shd w:fill="FFFFFF"/>
            <w:tcMar>
              <w:top w:w="85" w:type="dxa"/>
              <w:left w:w="85" w:type="dxa"/>
              <w:bottom w:w="85" w:type="dxa"/>
              <w:right w:w="85" w:type="dxa"/>
            </w:tcMar>
          </w:tcPr>
          <w:p>
            <w:pPr>
              <w:spacing w:after="20" w:line="245" w:lineRule="auto"/>
            </w:pPr>
            <w:r>
              <w:rPr>
                <w:b w:val="0"/>
                <w:sz w:val="20"/>
              </w:rPr>
              <w:t>Releases capacity; patient sees no confirmed appointment</w:t>
            </w:r>
          </w:p>
        </w:tc>
      </w:tr>
    </w:tbl>
    <w:p>
      <w:pPr>
        <w:spacing w:after="0" w:line="60" w:lineRule="exact"/>
      </w:pPr>
      <w:r>
        <w:rPr>
          <w:sz w:val="6"/>
        </w:rPr>
      </w:r>
    </w:p>
    <w:p>
      <w:pPr>
        <w:pStyle w:val="Heading2"/>
      </w:pPr>
      <w:r>
        <w:t>Transition requirements</w:t>
      </w:r>
    </w:p>
    <w:p>
      <w:r>
        <w:rPr>
          <w:b w:val="0"/>
        </w:rPr>
      </w:r>
      <w:r>
        <w:rPr>
          <w:b/>
        </w:rPr>
        <w:t>BKG-02</w:t>
      </w:r>
      <w:r>
        <w:rPr>
          <w:b w:val="0"/>
        </w:rPr>
        <w:t xml:space="preserve"> Instant confirmation is the MVP booking mode. The system shall create a confirmed appointment only after the slot, identity, eligibility, offer and price validations succeed in one transaction. Confirmation contains an immutable appointment reference.</w:t>
      </w:r>
    </w:p>
    <w:p>
      <w:r>
        <w:rPr>
          <w:b w:val="0"/>
        </w:rPr>
      </w:r>
      <w:r>
        <w:rPr>
          <w:b/>
        </w:rPr>
        <w:t>BKG-03</w:t>
      </w:r>
      <w:r>
        <w:rPr>
          <w:b w:val="0"/>
        </w:rPr>
        <w:t xml:space="preserve"> Rescheduling shall retain the booking ID and record old and new time, branch, offering, price and policy versions in booking revisions. It is an audited operation, not a terminal booking state. A patient must accept a revised price before commitment. The old slot remains valid if the replacement fails.</w:t>
      </w:r>
    </w:p>
    <w:p>
      <w:r>
        <w:rPr>
          <w:b w:val="0"/>
        </w:rPr>
      </w:r>
      <w:r>
        <w:rPr>
          <w:b/>
        </w:rPr>
        <w:t>BKG-04</w:t>
      </w:r>
      <w:r>
        <w:rPr>
          <w:b w:val="0"/>
        </w:rPr>
        <w:t xml:space="preserve"> Only allowed transitions shall execute. Updates shall use an expected version to prevent a cancellation and completion overwriting each other. Administrative corrections shall require a reason, preserve the original event and trigger appropriate downstream corrections.</w:t>
      </w:r>
    </w:p>
    <w:p>
      <w:r>
        <w:rPr>
          <w:b w:val="0"/>
        </w:rPr>
      </w:r>
      <w:r>
        <w:rPr>
          <w:b/>
        </w:rPr>
        <w:t>BKG-05</w:t>
      </w:r>
      <w:r>
        <w:rPr>
          <w:b w:val="0"/>
        </w:rPr>
        <w:t xml:space="preserve"> Completing a booking shall not prove that an offline payment was received. Financial status is separate. A cancelled or no show appointment shall not permit a completed appointment review.</w:t>
      </w:r>
    </w:p>
    <w:p>
      <w:r>
        <w:rPr>
          <w:b w:val="0"/>
        </w:rPr>
      </w:r>
      <w:r>
        <w:rPr>
          <w:b/>
        </w:rPr>
        <w:t>BKG-06 R1</w:t>
      </w:r>
      <w:r>
        <w:rPr>
          <w:b w:val="0"/>
        </w:rPr>
        <w:t xml:space="preserve"> Request to book mode shall disclose the response deadline before submission. Pending requests shall not hold capacity indefinitely. Timeout, rejection and late acceptance must be deterministic; an expired request cannot become confirmed without a new availability check and patient consent.</w:t>
      </w:r>
    </w:p>
    <w:p>
      <w:pPr>
        <w:pStyle w:val="Heading2"/>
      </w:pPr>
      <w:r>
        <w:t>Patient conflicts</w:t>
      </w:r>
    </w:p>
    <w:p>
      <w:r>
        <w:rPr>
          <w:b w:val="0"/>
        </w:rPr>
        <w:t>The launch service shall reject overlapping active appointments for the same patient or dependant through a patient schedule lock. Different dependants of the same guardian may attend different appointments at the same time. Walk in records shall identify the patient sufficiently to avoid obvious duplicates.</w:t>
      </w:r>
    </w:p>
    <w:p>
      <w:pPr>
        <w:pStyle w:val="Heading1"/>
      </w:pPr>
      <w:r>
        <w:t>12 Booking transactions and race conditions</w:t>
      </w:r>
    </w:p>
    <w:p>
      <w:pPr>
        <w:pStyle w:val="Heading2"/>
      </w:pPr>
      <w:r>
        <w:t>Authoritative reservation flow</w:t>
      </w:r>
    </w:p>
    <w:p>
      <w:r>
        <w:rPr>
          <w:b w:val="0"/>
        </w:rPr>
      </w:r>
      <w:r>
        <w:rPr>
          <w:b/>
        </w:rPr>
        <w:t>BKG-07</w:t>
      </w:r>
      <w:r>
        <w:rPr>
          <w:b w:val="0"/>
        </w:rPr>
        <w:t xml:space="preserve"> Slot creation, confirmation, manual appointment entry, rescheduling and relevant schedule edits shall acquire a database row lock on the practitioner calendar. Patient calendar locks shall protect patient overlaps. Transactions taking multiple locks shall use a stable documented order to prevent deadlocks.</w:t>
      </w:r>
    </w:p>
    <w:p>
      <w:r>
        <w:rPr>
          <w:b w:val="0"/>
        </w:rPr>
        <w:t>1. Authenticate the actor and validate scope, patient or dependant authority, offering and idempotency key. A login session cannot choose a different patient account by changing an ID.</w:t>
      </w:r>
    </w:p>
    <w:p>
      <w:r>
        <w:rPr>
          <w:b w:val="0"/>
        </w:rPr>
        <w:t>2. Start a transaction and acquire the required practitioner and patient calendar locks. Expire elapsed holds for these calendars before checking availability. Recheck suspension, credential eligibility, published offering and the current schedule version.</w:t>
      </w:r>
    </w:p>
    <w:p>
      <w:r>
        <w:rPr>
          <w:b w:val="0"/>
        </w:rPr>
        <w:t>3. Recompute the occupied interval, test all branch conflicts, minimum notice and horizon, and validate offer eligibility. Create a proposed five minute hold and reserve any limited offer entitlement. Commit and return an opaque hold token scoped to the actor.</w:t>
      </w:r>
    </w:p>
    <w:p>
      <w:r>
        <w:rPr>
          <w:b w:val="0"/>
        </w:rPr>
        <w:t>4. On confirmation, lock the same records and hold, reject elapsed or released holds, verify the expected price and policy version, and revalidate eligibility. Convert the hold to a committed reservation, create the booking and price snapshot, consume the offer entitlement and append an outbox event in one transaction.</w:t>
      </w:r>
    </w:p>
    <w:p>
      <w:r>
        <w:rPr>
          <w:b w:val="0"/>
        </w:rPr>
        <w:t>5. Return the durable booking reference. Send messages asynchronously from the outbox. A notification failure shall not undo a successfully committed appointment.</w:t>
      </w:r>
    </w:p>
    <w:p>
      <w:pPr>
        <w:pStyle w:val="Heading2"/>
      </w:pPr>
      <w:r>
        <w:t>Concurrency guarantees</w:t>
      </w:r>
    </w:p>
    <w:p>
      <w:r>
        <w:rPr>
          <w:b w:val="0"/>
        </w:rPr>
      </w:r>
      <w:r>
        <w:rPr>
          <w:b/>
        </w:rPr>
        <w:t>BKG-08</w:t>
      </w:r>
      <w:r>
        <w:rPr>
          <w:b w:val="0"/>
        </w:rPr>
        <w:t xml:space="preserve"> A PostgreSQL exclusion constraint on the practitioner's occupied time range shall be the final overlap guard. UI checks, cache locks or a unique practitioner plus start time key are insufficient for variable appointment lengths. Conflicts shall return a stable SLOT_UNAVAILABLE error and fresh alternatives.</w:t>
      </w:r>
    </w:p>
    <w:p>
      <w:r>
        <w:rPr>
          <w:b w:val="0"/>
        </w:rPr>
      </w:r>
      <w:r>
        <w:rPr>
          <w:b/>
        </w:rPr>
        <w:t>BKG-09</w:t>
      </w:r>
      <w:r>
        <w:rPr>
          <w:b w:val="0"/>
        </w:rPr>
        <w:t xml:space="preserve"> Holds shall use an explicit blocking state. Do not use a time dependent now() condition inside a partial index. An expiry worker shall release elapsed holds at least every minute; every booking attempt also performs expiry cleanup for the locked calendar, so a delayed worker does not create indefinite blockage.</w:t>
      </w:r>
    </w:p>
    <w:p>
      <w:r>
        <w:rPr>
          <w:b w:val="0"/>
        </w:rPr>
      </w:r>
      <w:r>
        <w:rPr>
          <w:b/>
        </w:rPr>
        <w:t>BKG-10</w:t>
      </w:r>
      <w:r>
        <w:rPr>
          <w:b w:val="0"/>
        </w:rPr>
        <w:t xml:space="preserve"> An idempotency key shall be unique per actor and mutation route, retained for at least 24 hours. Same key and same request returns the original result; same key with a changed request returns a conflict. Clients shall not blindly generate a new key after a timeout.</w:t>
      </w:r>
    </w:p>
    <w:p>
      <w:r>
        <w:rPr>
          <w:b w:val="0"/>
        </w:rPr>
      </w:r>
      <w:r>
        <w:rPr>
          <w:b/>
        </w:rPr>
        <w:t>BKG-11</w:t>
      </w:r>
      <w:r>
        <w:rPr>
          <w:b w:val="0"/>
        </w:rPr>
        <w:t xml:space="preserve"> Rescheduling shall release the old occupied interval and insert the replacement inside the same transaction. Failure rolls everything back. Offer counters, booking revisions, patient conflict checks and outbox events participate in that transaction.</w:t>
      </w:r>
    </w:p>
    <w:p>
      <w:r>
        <w:rPr>
          <w:b w:val="0"/>
        </w:rPr>
      </w:r>
      <w:r>
        <w:rPr>
          <w:b/>
        </w:rPr>
        <w:t>BKG-12</w:t>
      </w:r>
      <w:r>
        <w:rPr>
          <w:b w:val="0"/>
        </w:rPr>
        <w:t xml:space="preserve"> No network call to SMS, email, mapping or payment providers shall occur while calendar locks are held. Use bounded lock waits and safe retries for deadlocks with the same idempotency key. Public display caches never authorise a booking.</w:t>
      </w:r>
    </w:p>
    <w:p>
      <w:pPr>
        <w:pStyle w:val="Heading1"/>
      </w:pPr>
      <w:r>
        <w:t>13 Patient management and messages</w:t>
      </w:r>
    </w:p>
    <w:p>
      <w:pPr>
        <w:pStyle w:val="Heading2"/>
      </w:pPr>
      <w:r>
        <w:t>Patient account and booking details</w:t>
      </w:r>
    </w:p>
    <w:p>
      <w:r>
        <w:rPr>
          <w:b w:val="0"/>
        </w:rPr>
      </w:r>
      <w:r>
        <w:rPr>
          <w:b/>
        </w:rPr>
        <w:t>BKG-13</w:t>
      </w:r>
      <w:r>
        <w:rPr>
          <w:b w:val="0"/>
        </w:rPr>
        <w:t xml:space="preserve"> A patient dashboard shall show upcoming and past appointments, status, local time, practitioner, clinic address, service, agreed fee, discount, policy and booking reference. Actions shall include view directions, add to calendar, cancel, reschedule, rebook and contact support according to eligibility.</w:t>
      </w:r>
    </w:p>
    <w:p>
      <w:r>
        <w:rPr>
          <w:b w:val="0"/>
        </w:rPr>
      </w:r>
      <w:r>
        <w:rPr>
          <w:b/>
        </w:rPr>
        <w:t>BKG-14</w:t>
      </w:r>
      <w:r>
        <w:rPr>
          <w:b w:val="0"/>
        </w:rPr>
        <w:t xml:space="preserve"> Collect the minimum required patient name, verified contact and service choice. A short appointment reason is optional, limited to 500 characters and private. Do not request medical records or detailed diagnosis in the MVP. Public analytics and message templates shall exclude this free text.</w:t>
      </w:r>
    </w:p>
    <w:p>
      <w:r>
        <w:rPr>
          <w:b w:val="0"/>
        </w:rPr>
      </w:r>
      <w:r>
        <w:rPr>
          <w:b/>
        </w:rPr>
        <w:t>BKG-15</w:t>
      </w:r>
      <w:r>
        <w:rPr>
          <w:b w:val="0"/>
        </w:rPr>
        <w:t xml:space="preserve"> Proposed self service cancellation and rescheduling cutoff is 12 hours before the appointment. Before the cutoff, allow the action directly. After it, allow a cancellation request to the clinic with a clear status. Provider cancellation is always operationally possible with a reason and notification. MVP cancellation does not generate a platform monetary penalty.</w:t>
      </w:r>
    </w:p>
    <w:p>
      <w:r>
        <w:rPr>
          <w:b w:val="0"/>
        </w:rPr>
      </w:r>
      <w:r>
        <w:rPr>
          <w:b/>
        </w:rPr>
        <w:t>BKG-16</w:t>
      </w:r>
      <w:r>
        <w:rPr>
          <w:b w:val="0"/>
        </w:rPr>
        <w:t xml:space="preserve"> Dependants shall have a separate patient record linked to an authorised guardian. Adults shall confirm authority to book on another adult's behalf. Minor booking requires the configured guardian verification and consent process; if this process is not implemented and approved, disable minor bookings at launch. A checkbox alone shall not be represented as verified parental consent.</w:t>
      </w:r>
    </w:p>
    <w:p>
      <w:pPr>
        <w:pStyle w:val="Heading2"/>
      </w:pPr>
      <w:r>
        <w:t>Notification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Trigger</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Recipient and content</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Timing and channel</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Booking confirmed</w:t>
            </w:r>
          </w:p>
        </w:tc>
        <w:tc>
          <w:tcPr>
            <w:tcW w:type="dxa" w:w="3528"/>
            <w:vAlign w:val="center"/>
            <w:shd w:fill="FFFFFF"/>
            <w:tcMar>
              <w:top w:w="85" w:type="dxa"/>
              <w:left w:w="85" w:type="dxa"/>
              <w:bottom w:w="85" w:type="dxa"/>
              <w:right w:w="85" w:type="dxa"/>
            </w:tcMar>
          </w:tcPr>
          <w:p>
            <w:pPr>
              <w:spacing w:after="20" w:line="245" w:lineRule="auto"/>
            </w:pPr>
            <w:r>
              <w:rPr>
                <w:b w:val="0"/>
                <w:sz w:val="20"/>
              </w:rPr>
              <w:t>Patient and practitioner; reference, time, clinic and management link</w:t>
            </w:r>
          </w:p>
        </w:tc>
        <w:tc>
          <w:tcPr>
            <w:tcW w:type="dxa" w:w="4406"/>
            <w:vAlign w:val="center"/>
            <w:shd w:fill="FFFFFF"/>
            <w:tcMar>
              <w:top w:w="85" w:type="dxa"/>
              <w:left w:w="85" w:type="dxa"/>
              <w:bottom w:w="85" w:type="dxa"/>
              <w:right w:w="85" w:type="dxa"/>
            </w:tcMar>
          </w:tcPr>
          <w:p>
            <w:pPr>
              <w:spacing w:after="20" w:line="245" w:lineRule="auto"/>
            </w:pPr>
            <w:r>
              <w:rPr>
                <w:b w:val="0"/>
                <w:sz w:val="20"/>
              </w:rPr>
              <w:t>Immediately queued; in app plus selected SMS or email</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Cancellation or reschedule</w:t>
            </w:r>
          </w:p>
        </w:tc>
        <w:tc>
          <w:tcPr>
            <w:tcW w:type="dxa" w:w="3528"/>
            <w:vAlign w:val="center"/>
            <w:shd w:fill="F0F4F6"/>
            <w:tcMar>
              <w:top w:w="85" w:type="dxa"/>
              <w:left w:w="85" w:type="dxa"/>
              <w:bottom w:w="85" w:type="dxa"/>
              <w:right w:w="85" w:type="dxa"/>
            </w:tcMar>
          </w:tcPr>
          <w:p>
            <w:pPr>
              <w:spacing w:after="20" w:line="245" w:lineRule="auto"/>
            </w:pPr>
            <w:r>
              <w:rPr>
                <w:b w:val="0"/>
                <w:sz w:val="20"/>
              </w:rPr>
              <w:t>Both parties; revised status and next action</w:t>
            </w:r>
          </w:p>
        </w:tc>
        <w:tc>
          <w:tcPr>
            <w:tcW w:type="dxa" w:w="4406"/>
            <w:vAlign w:val="center"/>
            <w:shd w:fill="F0F4F6"/>
            <w:tcMar>
              <w:top w:w="85" w:type="dxa"/>
              <w:left w:w="85" w:type="dxa"/>
              <w:bottom w:w="85" w:type="dxa"/>
              <w:right w:w="85" w:type="dxa"/>
            </w:tcMar>
          </w:tcPr>
          <w:p>
            <w:pPr>
              <w:spacing w:after="20" w:line="245" w:lineRule="auto"/>
            </w:pPr>
            <w:r>
              <w:rPr>
                <w:b w:val="0"/>
                <w:sz w:val="20"/>
              </w:rPr>
              <w:t>Immediately after commit</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Reminder</w:t>
            </w:r>
          </w:p>
        </w:tc>
        <w:tc>
          <w:tcPr>
            <w:tcW w:type="dxa" w:w="3528"/>
            <w:vAlign w:val="center"/>
            <w:shd w:fill="FFFFFF"/>
            <w:tcMar>
              <w:top w:w="85" w:type="dxa"/>
              <w:left w:w="85" w:type="dxa"/>
              <w:bottom w:w="85" w:type="dxa"/>
              <w:right w:w="85" w:type="dxa"/>
            </w:tcMar>
          </w:tcPr>
          <w:p>
            <w:pPr>
              <w:spacing w:after="20" w:line="245" w:lineRule="auto"/>
            </w:pPr>
            <w:r>
              <w:rPr>
                <w:b w:val="0"/>
                <w:sz w:val="20"/>
              </w:rPr>
              <w:t>Patient; time, location and management link</w:t>
            </w:r>
          </w:p>
        </w:tc>
        <w:tc>
          <w:tcPr>
            <w:tcW w:type="dxa" w:w="4406"/>
            <w:vAlign w:val="center"/>
            <w:shd w:fill="FFFFFF"/>
            <w:tcMar>
              <w:top w:w="85" w:type="dxa"/>
              <w:left w:w="85" w:type="dxa"/>
              <w:bottom w:w="85" w:type="dxa"/>
              <w:right w:w="85" w:type="dxa"/>
            </w:tcMar>
          </w:tcPr>
          <w:p>
            <w:pPr>
              <w:spacing w:after="20" w:line="245" w:lineRule="auto"/>
            </w:pPr>
            <w:r>
              <w:rPr>
                <w:b w:val="0"/>
                <w:sz w:val="20"/>
              </w:rPr>
              <w:t>Proposed 24 hours and 2 hours before; skip past windows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Verification decision</w:t>
            </w:r>
          </w:p>
        </w:tc>
        <w:tc>
          <w:tcPr>
            <w:tcW w:type="dxa" w:w="3528"/>
            <w:vAlign w:val="center"/>
            <w:shd w:fill="F0F4F6"/>
            <w:tcMar>
              <w:top w:w="85" w:type="dxa"/>
              <w:left w:w="85" w:type="dxa"/>
              <w:bottom w:w="85" w:type="dxa"/>
              <w:right w:w="85" w:type="dxa"/>
            </w:tcMar>
          </w:tcPr>
          <w:p>
            <w:pPr>
              <w:spacing w:after="20" w:line="245" w:lineRule="auto"/>
            </w:pPr>
            <w:r>
              <w:rPr>
                <w:b w:val="0"/>
                <w:sz w:val="20"/>
              </w:rPr>
              <w:t>Practitioner; decision, reason and required action</w:t>
            </w:r>
          </w:p>
        </w:tc>
        <w:tc>
          <w:tcPr>
            <w:tcW w:type="dxa" w:w="4406"/>
            <w:vAlign w:val="center"/>
            <w:shd w:fill="F0F4F6"/>
            <w:tcMar>
              <w:top w:w="85" w:type="dxa"/>
              <w:left w:w="85" w:type="dxa"/>
              <w:bottom w:w="85" w:type="dxa"/>
              <w:right w:w="85" w:type="dxa"/>
            </w:tcMar>
          </w:tcPr>
          <w:p>
            <w:pPr>
              <w:spacing w:after="20" w:line="245" w:lineRule="auto"/>
            </w:pPr>
            <w:r>
              <w:rPr>
                <w:b w:val="0"/>
                <w:sz w:val="20"/>
              </w:rPr>
              <w:t>After reviewer action</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Review invitation</w:t>
            </w:r>
          </w:p>
        </w:tc>
        <w:tc>
          <w:tcPr>
            <w:tcW w:type="dxa" w:w="3528"/>
            <w:vAlign w:val="center"/>
            <w:shd w:fill="FFFFFF"/>
            <w:tcMar>
              <w:top w:w="85" w:type="dxa"/>
              <w:left w:w="85" w:type="dxa"/>
              <w:bottom w:w="85" w:type="dxa"/>
              <w:right w:w="85" w:type="dxa"/>
            </w:tcMar>
          </w:tcPr>
          <w:p>
            <w:pPr>
              <w:spacing w:after="20" w:line="245" w:lineRule="auto"/>
            </w:pPr>
            <w:r>
              <w:rPr>
                <w:b w:val="0"/>
                <w:sz w:val="20"/>
              </w:rPr>
              <w:t>Patient; private link for completed appointment</w:t>
            </w:r>
          </w:p>
        </w:tc>
        <w:tc>
          <w:tcPr>
            <w:tcW w:type="dxa" w:w="4406"/>
            <w:vAlign w:val="center"/>
            <w:shd w:fill="FFFFFF"/>
            <w:tcMar>
              <w:top w:w="85" w:type="dxa"/>
              <w:left w:w="85" w:type="dxa"/>
              <w:bottom w:w="85" w:type="dxa"/>
              <w:right w:w="85" w:type="dxa"/>
            </w:tcMar>
          </w:tcPr>
          <w:p>
            <w:pPr>
              <w:spacing w:after="20" w:line="245" w:lineRule="auto"/>
            </w:pPr>
            <w:r>
              <w:rPr>
                <w:b w:val="0"/>
                <w:sz w:val="20"/>
              </w:rPr>
              <w:t>Proposed 2 hours after recorded completion</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Offer promotion</w:t>
            </w:r>
          </w:p>
        </w:tc>
        <w:tc>
          <w:tcPr>
            <w:tcW w:type="dxa" w:w="3528"/>
            <w:vAlign w:val="center"/>
            <w:shd w:fill="F0F4F6"/>
            <w:tcMar>
              <w:top w:w="85" w:type="dxa"/>
              <w:left w:w="85" w:type="dxa"/>
              <w:bottom w:w="85" w:type="dxa"/>
              <w:right w:w="85" w:type="dxa"/>
            </w:tcMar>
          </w:tcPr>
          <w:p>
            <w:pPr>
              <w:spacing w:after="20" w:line="245" w:lineRule="auto"/>
            </w:pPr>
            <w:r>
              <w:rPr>
                <w:b w:val="0"/>
                <w:sz w:val="20"/>
              </w:rPr>
              <w:t>Explicitly opted in audience only</w:t>
            </w:r>
          </w:p>
        </w:tc>
        <w:tc>
          <w:tcPr>
            <w:tcW w:type="dxa" w:w="4406"/>
            <w:vAlign w:val="center"/>
            <w:shd w:fill="F0F4F6"/>
            <w:tcMar>
              <w:top w:w="85" w:type="dxa"/>
              <w:left w:w="85" w:type="dxa"/>
              <w:bottom w:w="85" w:type="dxa"/>
              <w:right w:w="85" w:type="dxa"/>
            </w:tcMar>
          </w:tcPr>
          <w:p>
            <w:pPr>
              <w:spacing w:after="20" w:line="245" w:lineRule="auto"/>
            </w:pPr>
            <w:r>
              <w:rPr>
                <w:b w:val="0"/>
                <w:sz w:val="20"/>
              </w:rPr>
              <w:t>Separate campaign workflow; never treated as transactional</w:t>
            </w:r>
          </w:p>
        </w:tc>
      </w:tr>
    </w:tbl>
    <w:p>
      <w:pPr>
        <w:spacing w:after="0" w:line="60" w:lineRule="exact"/>
      </w:pPr>
      <w:r>
        <w:rPr>
          <w:sz w:val="6"/>
        </w:rPr>
      </w:r>
    </w:p>
    <w:p>
      <w:pPr>
        <w:pStyle w:val="Heading2"/>
      </w:pPr>
      <w:r>
        <w:t>Delivery guarantees</w:t>
      </w:r>
    </w:p>
    <w:p>
      <w:r>
        <w:rPr>
          <w:b w:val="0"/>
        </w:rPr>
      </w:r>
      <w:r>
        <w:rPr>
          <w:b/>
        </w:rPr>
        <w:t>MSG-01</w:t>
      </w:r>
      <w:r>
        <w:rPr>
          <w:b w:val="0"/>
        </w:rPr>
        <w:t xml:space="preserve"> Templates shall be versioned by event, language and channel. Delivery records shall include provider ID, state, attempts and last error. Retry temporary failures with backoff; permanent failures go to an operations queue. Proposed dispatch target is 95 percent within 60 seconds, excluding vendor delivery time.</w:t>
      </w:r>
    </w:p>
    <w:p>
      <w:r>
        <w:rPr>
          <w:b w:val="0"/>
        </w:rPr>
      </w:r>
      <w:r>
        <w:rPr>
          <w:b/>
        </w:rPr>
        <w:t>MSG-02</w:t>
      </w:r>
      <w:r>
        <w:rPr>
          <w:b w:val="0"/>
        </w:rPr>
        <w:t xml:space="preserve"> Deduplicate by event, recipient, channel and template version. Before sending a reminder, recheck current booking time, version and status. Cancel stale reminders after rescheduling. Management links shall be short lived, opaque and require authentication for changes.</w:t>
      </w:r>
    </w:p>
    <w:p>
      <w:r>
        <w:rPr>
          <w:b w:val="0"/>
        </w:rPr>
      </w:r>
      <w:r>
        <w:rPr>
          <w:b/>
        </w:rPr>
        <w:t>MSG-03</w:t>
      </w:r>
      <w:r>
        <w:rPr>
          <w:b w:val="0"/>
        </w:rPr>
        <w:t xml:space="preserve"> WhatsApp is optional and requires provider setup and channel opt in. Transactional and promotional preferences shall be separate; marketing unsubscribe shall not erase an appointment or block essential service communication.</w:t>
      </w:r>
    </w:p>
    <w:p>
      <w:pPr>
        <w:pStyle w:val="Heading1"/>
      </w:pPr>
      <w:r>
        <w:t>14 Pricing offers and future payments</w:t>
      </w:r>
    </w:p>
    <w:p>
      <w:pPr>
        <w:pStyle w:val="Heading2"/>
      </w:pPr>
      <w:r>
        <w:t>Price calculation</w:t>
      </w:r>
    </w:p>
    <w:p>
      <w:r>
        <w:rPr>
          <w:b w:val="0"/>
        </w:rPr>
      </w:r>
      <w:r>
        <w:rPr>
          <w:b/>
        </w:rPr>
        <w:t>OFR-02</w:t>
      </w:r>
      <w:r>
        <w:rPr>
          <w:b w:val="0"/>
        </w:rPr>
        <w:t xml:space="preserve"> Store money as nonnegative integer paise and currency as INR. Compute service base price less eligible discount plus explicitly disclosed taxes and additional charges. Never use floating point arithmetic for money. Freeze line items, offer terms and policy version on booking; later fee edits shall not change existing appointments.</w:t>
      </w:r>
    </w:p>
    <w:p>
      <w:r>
        <w:rPr>
          <w:b w:val="0"/>
        </w:rPr>
      </w:r>
      <w:r>
        <w:rPr>
          <w:b/>
        </w:rPr>
        <w:t>OFR-03</w:t>
      </w:r>
      <w:r>
        <w:rPr>
          <w:b w:val="0"/>
        </w:rPr>
        <w:t xml:space="preserve"> Offers shall support fixed amount or percentage reductions, start and end timestamps, eligible offerings, a minimum spend, maximum discount, total redemption cap, per patient cap and first completed visit eligibility where specified. Percentage rounding shall use nearest paise, with halves rounded up. The final service price shall not be negative.</w:t>
      </w:r>
    </w:p>
    <w:p>
      <w:r>
        <w:rPr>
          <w:b w:val="0"/>
        </w:rPr>
      </w:r>
      <w:r>
        <w:rPr>
          <w:b/>
        </w:rPr>
        <w:t>OFR-04</w:t>
      </w:r>
      <w:r>
        <w:rPr>
          <w:b w:val="0"/>
        </w:rPr>
        <w:t xml:space="preserve"> Only one offer may apply at launch. First visit offers shall have a one redemption per patient cap, including reserved entitlements. The quote service selects the best eligible automatic offer or validates the entered code, then explains the applied rule. The same result must appear in search, profile, booking review and the stored quote, with qualifiers where a price depends on eligibility.</w:t>
      </w:r>
    </w:p>
    <w:p>
      <w:r>
        <w:rPr>
          <w:b w:val="0"/>
        </w:rPr>
      </w:r>
      <w:r>
        <w:rPr>
          <w:b/>
        </w:rPr>
        <w:t>OFR-05</w:t>
      </w:r>
      <w:r>
        <w:rPr>
          <w:b w:val="0"/>
        </w:rPr>
        <w:t xml:space="preserve"> Limited redemptions shall be reserved on slot hold and consumed on booking confirmation atomically. Released or expired holds free the reservation. Proposed policy restores redemption entitlement for cancelled bookings, but not for completed or no show bookings. Record each counter change and protect caps against concurrent confirmations.</w:t>
      </w:r>
    </w:p>
    <w:p>
      <w:r>
        <w:rPr>
          <w:b w:val="0"/>
        </w:rPr>
      </w:r>
      <w:r>
        <w:rPr>
          <w:b/>
        </w:rPr>
        <w:t>OFR-06</w:t>
      </w:r>
      <w:r>
        <w:rPr>
          <w:b w:val="0"/>
        </w:rPr>
        <w:t xml:space="preserve"> Offers shall pass moderation before publication. Providers shall confirm the genuine regular price and terms. Prevent fabricated strike through prices, hidden charges, guaranteed recovery claims and publishing an expired offer. The admin can suspend an offer without changing already accepted booking prices.</w:t>
      </w:r>
    </w:p>
    <w:p>
      <w:pPr>
        <w:pStyle w:val="Heading2"/>
      </w:pPr>
      <w:r>
        <w:t>Launch payment behaviour</w:t>
      </w:r>
    </w:p>
    <w:p>
      <w:r>
        <w:rPr>
          <w:b w:val="0"/>
        </w:rPr>
      </w:r>
      <w:r>
        <w:rPr>
          <w:b/>
        </w:rPr>
        <w:t>PAY-01</w:t>
      </w:r>
      <w:r>
        <w:rPr>
          <w:b w:val="0"/>
        </w:rPr>
        <w:t xml:space="preserve"> Bookings shall show pay at clinic and the agreed amount. No card or UPI credentials shall be collected. A provider may mark an appointment as payment reported received, but dashboards shall identify this as self reported rather than platform collected revenue. Tax classification and invoicing responsibility require a documented business decision.</w:t>
      </w:r>
    </w:p>
    <w:p>
      <w:pPr>
        <w:pStyle w:val="Heading2"/>
      </w:pPr>
      <w:r>
        <w:t>Online payment release</w:t>
      </w:r>
    </w:p>
    <w:p>
      <w:r>
        <w:rPr>
          <w:b w:val="0"/>
        </w:rPr>
      </w:r>
      <w:r>
        <w:rPr>
          <w:b/>
        </w:rPr>
        <w:t>PAY-02 R2</w:t>
      </w:r>
      <w:r>
        <w:rPr>
          <w:b w:val="0"/>
        </w:rPr>
        <w:t xml:space="preserve"> Use a hosted gateway checkout with server created orders, amount and currency validation, signed webhook verification and unique provider event IDs. Browser redirects alone shall never mark a payment successful.</w:t>
      </w:r>
    </w:p>
    <w:p>
      <w:r>
        <w:rPr>
          <w:b w:val="0"/>
        </w:rPr>
      </w:r>
      <w:r>
        <w:rPr>
          <w:b/>
        </w:rPr>
        <w:t>PAY-03 R2</w:t>
      </w:r>
      <w:r>
        <w:rPr>
          <w:b w:val="0"/>
        </w:rPr>
        <w:t xml:space="preserve"> Maintain payment attempts, refunds and settlements independently of booking state. Model created, pending, succeeded and failed payment attempts, with partial and full refunds tracked as separate records. Do not store card numbers, CVV or UPI PINs.</w:t>
      </w:r>
    </w:p>
    <w:p>
      <w:r>
        <w:rPr>
          <w:b w:val="0"/>
        </w:rPr>
      </w:r>
      <w:r>
        <w:rPr>
          <w:b/>
        </w:rPr>
        <w:t>PAY-04 R2</w:t>
      </w:r>
      <w:r>
        <w:rPr>
          <w:b w:val="0"/>
        </w:rPr>
        <w:t xml:space="preserve"> Align checkout expiry with the slot hold. A late successful payment after capacity release shall not force a booking into an occupied slot; create a reconciliation exception and initiate the configured refund or patient approved rebooking process.</w:t>
      </w:r>
    </w:p>
    <w:p>
      <w:r>
        <w:rPr>
          <w:b w:val="0"/>
        </w:rPr>
      </w:r>
      <w:r>
        <w:rPr>
          <w:b/>
        </w:rPr>
        <w:t>PAY-05 R2</w:t>
      </w:r>
      <w:r>
        <w:rPr>
          <w:b w:val="0"/>
        </w:rPr>
        <w:t xml:space="preserve"> Decide merchant of record, provider onboarding, commission, invoice issuer, refund policy and settlement responsibility before implementation. Use gateway supported marketplace settlement facilities where applicable; the platform shall not improvise an internal wallet or escrow service.</w:t>
      </w:r>
    </w:p>
    <w:p>
      <w:pPr>
        <w:pStyle w:val="Heading1"/>
      </w:pPr>
      <w:r>
        <w:t>15 Physiotherapist workspace</w:t>
      </w:r>
    </w:p>
    <w:p>
      <w:pPr>
        <w:pStyle w:val="Heading2"/>
      </w:pPr>
      <w:r>
        <w:t>Workspace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Area</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Required controls and information</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Overview</w:t>
            </w:r>
          </w:p>
        </w:tc>
        <w:tc>
          <w:tcPr>
            <w:tcW w:type="dxa" w:w="7214"/>
            <w:vAlign w:val="center"/>
            <w:shd w:fill="FFFFFF"/>
            <w:tcMar>
              <w:top w:w="85" w:type="dxa"/>
              <w:left w:w="85" w:type="dxa"/>
              <w:bottom w:w="85" w:type="dxa"/>
              <w:right w:w="85" w:type="dxa"/>
            </w:tcMar>
          </w:tcPr>
          <w:p>
            <w:pPr>
              <w:spacing w:after="20" w:line="245" w:lineRule="auto"/>
            </w:pPr>
            <w:r>
              <w:rPr>
                <w:b w:val="0"/>
                <w:sz w:val="20"/>
              </w:rPr>
              <w:t>Today's appointments, upcoming bookings, pending actions, profile status and recent metrics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Profile editor</w:t>
            </w:r>
          </w:p>
        </w:tc>
        <w:tc>
          <w:tcPr>
            <w:tcW w:type="dxa" w:w="7214"/>
            <w:vAlign w:val="center"/>
            <w:shd w:fill="F0F4F6"/>
            <w:tcMar>
              <w:top w:w="85" w:type="dxa"/>
              <w:left w:w="85" w:type="dxa"/>
              <w:bottom w:w="85" w:type="dxa"/>
              <w:right w:w="85" w:type="dxa"/>
            </w:tcMar>
          </w:tcPr>
          <w:p>
            <w:pPr>
              <w:spacing w:after="20" w:line="245" w:lineRule="auto"/>
            </w:pPr>
            <w:r>
              <w:rPr>
                <w:b w:val="0"/>
                <w:sz w:val="20"/>
              </w:rPr>
              <w:t>Section based edits, media, credential upload, preview, submission and review feedback</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Clinics and services</w:t>
            </w:r>
          </w:p>
        </w:tc>
        <w:tc>
          <w:tcPr>
            <w:tcW w:type="dxa" w:w="7214"/>
            <w:vAlign w:val="center"/>
            <w:shd w:fill="FFFFFF"/>
            <w:tcMar>
              <w:top w:w="85" w:type="dxa"/>
              <w:left w:w="85" w:type="dxa"/>
              <w:bottom w:w="85" w:type="dxa"/>
              <w:right w:w="85" w:type="dxa"/>
            </w:tcMar>
          </w:tcPr>
          <w:p>
            <w:pPr>
              <w:spacing w:after="20" w:line="245" w:lineRule="auto"/>
            </w:pPr>
            <w:r>
              <w:rPr>
                <w:b w:val="0"/>
                <w:sz w:val="20"/>
              </w:rPr>
              <w:t>Branch associations, offering duration, fees, active status and booking policies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Calendar</w:t>
            </w:r>
          </w:p>
        </w:tc>
        <w:tc>
          <w:tcPr>
            <w:tcW w:type="dxa" w:w="7214"/>
            <w:vAlign w:val="center"/>
            <w:shd w:fill="F0F4F6"/>
            <w:tcMar>
              <w:top w:w="85" w:type="dxa"/>
              <w:left w:w="85" w:type="dxa"/>
              <w:bottom w:w="85" w:type="dxa"/>
              <w:right w:w="85" w:type="dxa"/>
            </w:tcMar>
          </w:tcPr>
          <w:p>
            <w:pPr>
              <w:spacing w:after="20" w:line="245" w:lineRule="auto"/>
            </w:pPr>
            <w:r>
              <w:rPr>
                <w:b w:val="0"/>
                <w:sz w:val="20"/>
              </w:rPr>
              <w:t>Day, week and agenda views; weekly schedule, leave, exceptions and manual blocks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Appointments</w:t>
            </w:r>
          </w:p>
        </w:tc>
        <w:tc>
          <w:tcPr>
            <w:tcW w:type="dxa" w:w="7214"/>
            <w:vAlign w:val="center"/>
            <w:shd w:fill="FFFFFF"/>
            <w:tcMar>
              <w:top w:w="85" w:type="dxa"/>
              <w:left w:w="85" w:type="dxa"/>
              <w:bottom w:w="85" w:type="dxa"/>
              <w:right w:w="85" w:type="dxa"/>
            </w:tcMar>
          </w:tcPr>
          <w:p>
            <w:pPr>
              <w:spacing w:after="20" w:line="245" w:lineRule="auto"/>
            </w:pPr>
            <w:r>
              <w:rPr>
                <w:b w:val="0"/>
                <w:sz w:val="20"/>
              </w:rPr>
              <w:t>Search by reference, patient and date; filters; detail view; permitted transitions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Offers</w:t>
            </w:r>
          </w:p>
        </w:tc>
        <w:tc>
          <w:tcPr>
            <w:tcW w:type="dxa" w:w="7214"/>
            <w:vAlign w:val="center"/>
            <w:shd w:fill="F0F4F6"/>
            <w:tcMar>
              <w:top w:w="85" w:type="dxa"/>
              <w:left w:w="85" w:type="dxa"/>
              <w:bottom w:w="85" w:type="dxa"/>
              <w:right w:w="85" w:type="dxa"/>
            </w:tcMar>
          </w:tcPr>
          <w:p>
            <w:pPr>
              <w:spacing w:after="20" w:line="245" w:lineRule="auto"/>
            </w:pPr>
            <w:r>
              <w:rPr>
                <w:b w:val="0"/>
                <w:sz w:val="20"/>
              </w:rPr>
              <w:t>Draft, submit, activate, pause and view redemption counts with terms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Team</w:t>
            </w:r>
          </w:p>
        </w:tc>
        <w:tc>
          <w:tcPr>
            <w:tcW w:type="dxa" w:w="7214"/>
            <w:vAlign w:val="center"/>
            <w:shd w:fill="FFFFFF"/>
            <w:tcMar>
              <w:top w:w="85" w:type="dxa"/>
              <w:left w:w="85" w:type="dxa"/>
              <w:bottom w:w="85" w:type="dxa"/>
              <w:right w:w="85" w:type="dxa"/>
            </w:tcMar>
          </w:tcPr>
          <w:p>
            <w:pPr>
              <w:spacing w:after="20" w:line="245" w:lineRule="auto"/>
            </w:pPr>
            <w:r>
              <w:rPr>
                <w:b w:val="0"/>
                <w:sz w:val="20"/>
              </w:rPr>
              <w:t>Invitations, assigned branches or practitioners, permissions and revocation</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Reports</w:t>
            </w:r>
          </w:p>
        </w:tc>
        <w:tc>
          <w:tcPr>
            <w:tcW w:type="dxa" w:w="7214"/>
            <w:vAlign w:val="center"/>
            <w:shd w:fill="F0F4F6"/>
            <w:tcMar>
              <w:top w:w="85" w:type="dxa"/>
              <w:left w:w="85" w:type="dxa"/>
              <w:bottom w:w="85" w:type="dxa"/>
              <w:right w:w="85" w:type="dxa"/>
            </w:tcMar>
          </w:tcPr>
          <w:p>
            <w:pPr>
              <w:spacing w:after="20" w:line="245" w:lineRule="auto"/>
            </w:pPr>
            <w:r>
              <w:rPr>
                <w:b w:val="0"/>
                <w:sz w:val="20"/>
              </w:rPr>
              <w:t>Views, confirmed bookings, completed visits, cancellations, sources and exports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Settings</w:t>
            </w:r>
          </w:p>
        </w:tc>
        <w:tc>
          <w:tcPr>
            <w:tcW w:type="dxa" w:w="7214"/>
            <w:vAlign w:val="center"/>
            <w:shd w:fill="FFFFFF"/>
            <w:tcMar>
              <w:top w:w="85" w:type="dxa"/>
              <w:left w:w="85" w:type="dxa"/>
              <w:bottom w:w="85" w:type="dxa"/>
              <w:right w:w="85" w:type="dxa"/>
            </w:tcMar>
          </w:tcPr>
          <w:p>
            <w:pPr>
              <w:spacing w:after="20" w:line="245" w:lineRule="auto"/>
            </w:pPr>
            <w:r>
              <w:rPr>
                <w:b w:val="0"/>
                <w:sz w:val="20"/>
              </w:rPr>
              <w:t>Contact details, notification preferences, security, consent and account requests</w:t>
            </w:r>
          </w:p>
        </w:tc>
      </w:tr>
    </w:tbl>
    <w:p>
      <w:pPr>
        <w:spacing w:after="0" w:line="60" w:lineRule="exact"/>
      </w:pPr>
      <w:r>
        <w:rPr>
          <w:sz w:val="6"/>
        </w:rPr>
      </w:r>
    </w:p>
    <w:p>
      <w:pPr>
        <w:pStyle w:val="Heading2"/>
      </w:pPr>
      <w:r>
        <w:t>Operational requirements</w:t>
      </w:r>
    </w:p>
    <w:p>
      <w:r>
        <w:rPr>
          <w:b w:val="0"/>
        </w:rPr>
      </w:r>
      <w:r>
        <w:rPr>
          <w:b/>
        </w:rPr>
        <w:t>PRO-13</w:t>
      </w:r>
      <w:r>
        <w:rPr>
          <w:b w:val="0"/>
        </w:rPr>
        <w:t xml:space="preserve"> Manual bookings and walk ins shall use the same conflict rules, patient validation and audit events as patient initiated bookings. Store source as platform, phone, walk in or staff entry. Manual entry shall not bypass suspension or overlap protection.</w:t>
      </w:r>
    </w:p>
    <w:p>
      <w:r>
        <w:rPr>
          <w:b w:val="0"/>
        </w:rPr>
      </w:r>
      <w:r>
        <w:rPr>
          <w:b/>
        </w:rPr>
        <w:t>PRO-14</w:t>
      </w:r>
      <w:r>
        <w:rPr>
          <w:b w:val="0"/>
        </w:rPr>
        <w:t xml:space="preserve"> Manual booking shall be available to a practitioner or assigned coordinator. Staff shall confirm authority to enter the patient's data and select whether a transactional confirmation is sent. Patient contact verification is required before linking a staff created record to an online account; do not auto merge solely by a shared phone number.</w:t>
      </w:r>
    </w:p>
    <w:p>
      <w:r>
        <w:rPr>
          <w:b w:val="0"/>
        </w:rPr>
      </w:r>
      <w:r>
        <w:rPr>
          <w:b/>
        </w:rPr>
        <w:t>PRO-15</w:t>
      </w:r>
      <w:r>
        <w:rPr>
          <w:b w:val="0"/>
        </w:rPr>
        <w:t xml:space="preserve"> A calendar block shall capture start, end and internal reason. Blocks may span several days but cannot silently displace existing confirmed appointments. Bulk leave actions shall list affected bookings and create follow up tasks.</w:t>
      </w:r>
    </w:p>
    <w:p>
      <w:r>
        <w:rPr>
          <w:b w:val="0"/>
        </w:rPr>
      </w:r>
      <w:r>
        <w:rPr>
          <w:b/>
        </w:rPr>
        <w:t>PRO-16</w:t>
      </w:r>
      <w:r>
        <w:rPr>
          <w:b w:val="0"/>
        </w:rPr>
        <w:t xml:space="preserve"> Appointment notes in the MVP are administrative only, such as arrival assistance or callback request. The interface shall not label them as a clinical record or invite treatment documentation. Store access history and limit their visibility to assigned staff.</w:t>
      </w:r>
    </w:p>
    <w:p>
      <w:r>
        <w:rPr>
          <w:b w:val="0"/>
        </w:rPr>
      </w:r>
      <w:r>
        <w:rPr>
          <w:b/>
        </w:rPr>
        <w:t>PRO-17</w:t>
      </w:r>
      <w:r>
        <w:rPr>
          <w:b w:val="0"/>
        </w:rPr>
        <w:t xml:space="preserve"> CSV exports shall use the same scope rules as the screen, require a purpose, expire after a short download window and be audited. Mitigate spreadsheet formula injection in user supplied values. Exports shall default to the minimum operational fields.</w:t>
      </w:r>
    </w:p>
    <w:p>
      <w:r>
        <w:rPr>
          <w:b w:val="0"/>
        </w:rPr>
      </w:r>
      <w:r>
        <w:rPr>
          <w:b/>
        </w:rPr>
        <w:t>PRO-18</w:t>
      </w:r>
      <w:r>
        <w:rPr>
          <w:b w:val="0"/>
        </w:rPr>
        <w:t xml:space="preserve"> A practitioner may pause new bookings without removing their directory profile. Public copy shall indicate that online booking is unavailable. Account closure shall first resolve future bookings and transfer any authorised operational obligations; historical records follow retention policy.</w:t>
      </w:r>
    </w:p>
    <w:p>
      <w:pPr>
        <w:pStyle w:val="Heading2"/>
      </w:pPr>
      <w:r>
        <w:t>Dashboard acceptance</w:t>
      </w:r>
    </w:p>
    <w:p>
      <w:r>
        <w:rPr>
          <w:b w:val="0"/>
        </w:rPr>
        <w:t>A coordinator assigned to one branch shall not read another branch's appointment list, even through a guessed API URL or export job. A practitioner working at two clinics shall see one combined calendar and branch filters. All numbers shall match the underlying scoped booking records for the selected date definition.</w:t>
      </w:r>
    </w:p>
    <w:p>
      <w:pPr>
        <w:pStyle w:val="Heading1"/>
      </w:pPr>
      <w:r>
        <w:t>16 Super admin and analytics</w:t>
      </w:r>
    </w:p>
    <w:p>
      <w:pPr>
        <w:pStyle w:val="Heading2"/>
      </w:pPr>
      <w:r>
        <w:t>Administrative controls</w:t>
      </w:r>
    </w:p>
    <w:p>
      <w:r>
        <w:rPr>
          <w:b w:val="0"/>
        </w:rPr>
      </w:r>
      <w:r>
        <w:rPr>
          <w:b/>
        </w:rPr>
        <w:t>ADM-02</w:t>
      </w:r>
      <w:r>
        <w:rPr>
          <w:b w:val="0"/>
        </w:rPr>
        <w:t xml:space="preserve"> Provide queues for new listings, profile changes, claims, credential checks, duplicate candidates, offers, reviews, complaints and correction requests. Each case shall have a status, assignee, priority, submission time, evidence, decision reason and event history. Proposed first response target is two business days; ageing and overdue queues must be visible.</w:t>
      </w:r>
    </w:p>
    <w:p>
      <w:r>
        <w:rPr>
          <w:b w:val="0"/>
        </w:rPr>
      </w:r>
      <w:r>
        <w:rPr>
          <w:b/>
        </w:rPr>
        <w:t>ADM-03</w:t>
      </w:r>
      <w:r>
        <w:rPr>
          <w:b w:val="0"/>
        </w:rPr>
        <w:t xml:space="preserve"> Administrators shall approve, request changes, reject, suspend, reinstate or archive a listing with a reason. Bulk actions require a preview, affected count and per record outcome. Sensitive decisions shall never overwrite their prior evidence or actor.</w:t>
      </w:r>
    </w:p>
    <w:p>
      <w:r>
        <w:rPr>
          <w:b w:val="0"/>
        </w:rPr>
      </w:r>
      <w:r>
        <w:rPr>
          <w:b/>
        </w:rPr>
        <w:t>ADM-04</w:t>
      </w:r>
      <w:r>
        <w:rPr>
          <w:b w:val="0"/>
        </w:rPr>
        <w:t xml:space="preserve"> A booking oversight screen shall filter by state, city, practitioner, clinic, source, date type and status. Show masked patient identifiers by default. Sensitive detail access requires the permission and a purpose; aggregate monitoring does not require viewing medical reasons.</w:t>
      </w:r>
    </w:p>
    <w:p>
      <w:r>
        <w:rPr>
          <w:b w:val="0"/>
        </w:rPr>
      </w:r>
      <w:r>
        <w:rPr>
          <w:b/>
        </w:rPr>
        <w:t>ADM-05</w:t>
      </w:r>
      <w:r>
        <w:rPr>
          <w:b w:val="0"/>
        </w:rPr>
        <w:t xml:space="preserve"> Geography, specialties, credential authorities, configuration, message templates and policy versions shall be managed through controlled master data screens. Changes shall be audited with rollback or effective dating. Suspensions and booking closure take effect immediately on the authoritative write path.</w:t>
      </w:r>
    </w:p>
    <w:p>
      <w:r>
        <w:rPr>
          <w:b w:val="0"/>
        </w:rPr>
      </w:r>
      <w:r>
        <w:rPr>
          <w:b/>
        </w:rPr>
        <w:t>ADM-06</w:t>
      </w:r>
      <w:r>
        <w:rPr>
          <w:b w:val="0"/>
        </w:rPr>
        <w:t xml:space="preserve"> Bulk onboarding shall support CSV validation, dry run, duplicate review, row level errors and a reversible staging batch. Require source and permission metadata. Never convert imported records directly into verified or claimed profiles. Merge operations retain aliases, sources and historical booking references.</w:t>
      </w:r>
    </w:p>
    <w:p>
      <w:pPr>
        <w:pStyle w:val="Heading2"/>
      </w:pPr>
      <w:r>
        <w:t>Metric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Metric</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Definition and counting rule</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Approved profiles</w:t>
            </w:r>
          </w:p>
        </w:tc>
        <w:tc>
          <w:tcPr>
            <w:tcW w:type="dxa" w:w="7214"/>
            <w:vAlign w:val="center"/>
            <w:shd w:fill="FFFFFF"/>
            <w:tcMar>
              <w:top w:w="85" w:type="dxa"/>
              <w:left w:w="85" w:type="dxa"/>
              <w:bottom w:w="85" w:type="dxa"/>
              <w:right w:w="85" w:type="dxa"/>
            </w:tcMar>
          </w:tcPr>
          <w:p>
            <w:pPr>
              <w:spacing w:after="20" w:line="245" w:lineRule="auto"/>
            </w:pPr>
            <w:r>
              <w:rPr>
                <w:b w:val="0"/>
                <w:sz w:val="20"/>
              </w:rPr>
              <w:t>Distinct active published practitioner IDs; separate claimed, verified and bookable totals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Booking conversion</w:t>
            </w:r>
          </w:p>
        </w:tc>
        <w:tc>
          <w:tcPr>
            <w:tcW w:type="dxa" w:w="7214"/>
            <w:vAlign w:val="center"/>
            <w:shd w:fill="F0F4F6"/>
            <w:tcMar>
              <w:top w:w="85" w:type="dxa"/>
              <w:left w:w="85" w:type="dxa"/>
              <w:bottom w:w="85" w:type="dxa"/>
              <w:right w:w="85" w:type="dxa"/>
            </w:tcMar>
          </w:tcPr>
          <w:p>
            <w:pPr>
              <w:spacing w:after="20" w:line="245" w:lineRule="auto"/>
            </w:pPr>
            <w:r>
              <w:rPr>
                <w:b w:val="0"/>
                <w:sz w:val="20"/>
              </w:rPr>
              <w:t>Confirmed patient initiated bookings divided by tracked booking starts in the same defined cohort; disclose measurement gaps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Completed visits</w:t>
            </w:r>
          </w:p>
        </w:tc>
        <w:tc>
          <w:tcPr>
            <w:tcW w:type="dxa" w:w="7214"/>
            <w:vAlign w:val="center"/>
            <w:shd w:fill="FFFFFF"/>
            <w:tcMar>
              <w:top w:w="85" w:type="dxa"/>
              <w:left w:w="85" w:type="dxa"/>
              <w:bottom w:w="85" w:type="dxa"/>
              <w:right w:w="85" w:type="dxa"/>
            </w:tcMar>
          </w:tcPr>
          <w:p>
            <w:pPr>
              <w:spacing w:after="20" w:line="245" w:lineRule="auto"/>
            </w:pPr>
            <w:r>
              <w:rPr>
                <w:b w:val="0"/>
                <w:sz w:val="20"/>
              </w:rPr>
              <w:t>Bookings explicitly marked completed in the selected appointment date period</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Cancellation rate</w:t>
            </w:r>
          </w:p>
        </w:tc>
        <w:tc>
          <w:tcPr>
            <w:tcW w:type="dxa" w:w="7214"/>
            <w:vAlign w:val="center"/>
            <w:shd w:fill="F0F4F6"/>
            <w:tcMar>
              <w:top w:w="85" w:type="dxa"/>
              <w:left w:w="85" w:type="dxa"/>
              <w:bottom w:w="85" w:type="dxa"/>
              <w:right w:w="85" w:type="dxa"/>
            </w:tcMar>
          </w:tcPr>
          <w:p>
            <w:pPr>
              <w:spacing w:after="20" w:line="245" w:lineRule="auto"/>
            </w:pPr>
            <w:r>
              <w:rPr>
                <w:b w:val="0"/>
                <w:sz w:val="20"/>
              </w:rPr>
              <w:t>Patient or provider cancelled bookings divided by confirmed cohort bookings, with actor breakdown</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No show rate</w:t>
            </w:r>
          </w:p>
        </w:tc>
        <w:tc>
          <w:tcPr>
            <w:tcW w:type="dxa" w:w="7214"/>
            <w:vAlign w:val="center"/>
            <w:shd w:fill="FFFFFF"/>
            <w:tcMar>
              <w:top w:w="85" w:type="dxa"/>
              <w:left w:w="85" w:type="dxa"/>
              <w:bottom w:w="85" w:type="dxa"/>
              <w:right w:w="85" w:type="dxa"/>
            </w:tcMar>
          </w:tcPr>
          <w:p>
            <w:pPr>
              <w:spacing w:after="20" w:line="245" w:lineRule="auto"/>
            </w:pPr>
            <w:r>
              <w:rPr>
                <w:b w:val="0"/>
                <w:sz w:val="20"/>
              </w:rPr>
              <w:t>No show count divided by completed plus no show count for appointments whose time has elapsed</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Booking value</w:t>
            </w:r>
          </w:p>
        </w:tc>
        <w:tc>
          <w:tcPr>
            <w:tcW w:type="dxa" w:w="7214"/>
            <w:vAlign w:val="center"/>
            <w:shd w:fill="F0F4F6"/>
            <w:tcMar>
              <w:top w:w="85" w:type="dxa"/>
              <w:left w:w="85" w:type="dxa"/>
              <w:bottom w:w="85" w:type="dxa"/>
              <w:right w:w="85" w:type="dxa"/>
            </w:tcMar>
          </w:tcPr>
          <w:p>
            <w:pPr>
              <w:spacing w:after="20" w:line="245" w:lineRule="auto"/>
            </w:pPr>
            <w:r>
              <w:rPr>
                <w:b w:val="0"/>
                <w:sz w:val="20"/>
              </w:rPr>
              <w:t>Sum of agreed amounts for the selected status and period; label as booking value, not revenue</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Utilisation</w:t>
            </w:r>
          </w:p>
        </w:tc>
        <w:tc>
          <w:tcPr>
            <w:tcW w:type="dxa" w:w="7214"/>
            <w:vAlign w:val="center"/>
            <w:shd w:fill="FFFFFF"/>
            <w:tcMar>
              <w:top w:w="85" w:type="dxa"/>
              <w:left w:w="85" w:type="dxa"/>
              <w:bottom w:w="85" w:type="dxa"/>
              <w:right w:w="85" w:type="dxa"/>
            </w:tcMar>
          </w:tcPr>
          <w:p>
            <w:pPr>
              <w:spacing w:after="20" w:line="245" w:lineRule="auto"/>
            </w:pPr>
            <w:r>
              <w:rPr>
                <w:b w:val="0"/>
                <w:sz w:val="20"/>
              </w:rPr>
              <w:t>Booked service minutes divided by published available service minutes; exclude leave and report buffer policy</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Approval turnaround</w:t>
            </w:r>
          </w:p>
        </w:tc>
        <w:tc>
          <w:tcPr>
            <w:tcW w:type="dxa" w:w="7214"/>
            <w:vAlign w:val="center"/>
            <w:shd w:fill="F0F4F6"/>
            <w:tcMar>
              <w:top w:w="85" w:type="dxa"/>
              <w:left w:w="85" w:type="dxa"/>
              <w:bottom w:w="85" w:type="dxa"/>
              <w:right w:w="85" w:type="dxa"/>
            </w:tcMar>
          </w:tcPr>
          <w:p>
            <w:pPr>
              <w:spacing w:after="20" w:line="245" w:lineRule="auto"/>
            </w:pPr>
            <w:r>
              <w:rPr>
                <w:b w:val="0"/>
                <w:sz w:val="20"/>
              </w:rPr>
              <w:t>Median and 90th percentile elapsed time from submission to first decision</w:t>
            </w:r>
          </w:p>
        </w:tc>
      </w:tr>
    </w:tbl>
    <w:p>
      <w:pPr>
        <w:spacing w:after="0" w:line="60" w:lineRule="exact"/>
      </w:pPr>
      <w:r>
        <w:rPr>
          <w:sz w:val="6"/>
        </w:rPr>
      </w:r>
    </w:p>
    <w:p>
      <w:r>
        <w:rPr>
          <w:b w:val="0"/>
        </w:rPr>
      </w:r>
      <w:r>
        <w:rPr>
          <w:b/>
        </w:rPr>
        <w:t>ANA-01</w:t>
      </w:r>
      <w:r>
        <w:rPr>
          <w:b w:val="0"/>
        </w:rPr>
        <w:t xml:space="preserve"> Reports shall distinguish creation date, appointment date and completion date, use Asia/Kolkata display boundaries, and exclude test accounts. </w:t>
      </w:r>
      <w:r>
        <w:rPr>
          <w:b/>
        </w:rPr>
        <w:t>ANA-02</w:t>
      </w:r>
      <w:r>
        <w:rPr>
          <w:b w:val="0"/>
        </w:rPr>
        <w:t xml:space="preserve"> Collect events such as search, profile view, booking start, hold, confirmation and cancellation using pseudonymous IDs. Never send patient names, contact details, health reasons or credential documents to marketing analytics.</w:t>
      </w:r>
    </w:p>
    <w:p>
      <w:r>
        <w:rPr>
          <w:b w:val="0"/>
        </w:rPr>
      </w:r>
      <w:r>
        <w:rPr>
          <w:b/>
        </w:rPr>
        <w:t>ANA-03</w:t>
      </w:r>
      <w:r>
        <w:rPr>
          <w:b w:val="0"/>
        </w:rPr>
        <w:t xml:space="preserve"> Practitioner dashboards refresh within a proposed five minutes and admin aggregates within 15 minutes. All reports show their refresh time. CSV and on screen totals shall reconcile; small aggregate cohorts may be suppressed to reduce reidentification.</w:t>
      </w:r>
    </w:p>
    <w:p>
      <w:pPr>
        <w:pStyle w:val="Heading1"/>
      </w:pPr>
      <w:r>
        <w:t>17 Reviews content and search visibility</w:t>
      </w:r>
    </w:p>
    <w:p>
      <w:pPr>
        <w:pStyle w:val="Heading2"/>
      </w:pPr>
      <w:r>
        <w:t>Reviews and complaints</w:t>
      </w:r>
    </w:p>
    <w:p>
      <w:r>
        <w:rPr>
          <w:b w:val="0"/>
        </w:rPr>
      </w:r>
      <w:r>
        <w:rPr>
          <w:b/>
        </w:rPr>
        <w:t>REV-01</w:t>
      </w:r>
      <w:r>
        <w:rPr>
          <w:b w:val="0"/>
        </w:rPr>
        <w:t xml:space="preserve"> A patient may submit one rating and review per completed booking. Verify eligibility through the booking relation, not an uploaded prescription. Mark it as a platform appointment review; this does not independently verify clinical outcomes. Do not accept purchased ratings or review incentives tied to a positive score.</w:t>
      </w:r>
    </w:p>
    <w:p>
      <w:r>
        <w:rPr>
          <w:b w:val="0"/>
        </w:rPr>
      </w:r>
      <w:r>
        <w:rPr>
          <w:b/>
        </w:rPr>
        <w:t>REV-02</w:t>
      </w:r>
      <w:r>
        <w:rPr>
          <w:b w:val="0"/>
        </w:rPr>
        <w:t xml:space="preserve"> Ratings shall use whole numbers from one to five. Review text shall have a proposed 20 to 2000 character limit. Public display uses a chosen display name without full contact details. Warn against including health records or another person's private data.</w:t>
      </w:r>
    </w:p>
    <w:p>
      <w:r>
        <w:rPr>
          <w:b w:val="0"/>
        </w:rPr>
      </w:r>
      <w:r>
        <w:rPr>
          <w:b/>
        </w:rPr>
        <w:t>REV-03</w:t>
      </w:r>
      <w:r>
        <w:rPr>
          <w:b w:val="0"/>
        </w:rPr>
        <w:t xml:space="preserve"> Reviews shall pass a moderation workflow for abuse, spam and personal information. Negative feedback shall not be removed solely for being negative. Show moderation reason to the submitter, provide appeal and permit a provider reply without disclosing patient information. Recalculate averages from published eligible reviews only.</w:t>
      </w:r>
    </w:p>
    <w:p>
      <w:r>
        <w:rPr>
          <w:b w:val="0"/>
        </w:rPr>
      </w:r>
      <w:r>
        <w:rPr>
          <w:b/>
        </w:rPr>
        <w:t>ADM-07</w:t>
      </w:r>
      <w:r>
        <w:rPr>
          <w:b w:val="0"/>
        </w:rPr>
        <w:t xml:space="preserve"> Support cases shall link to a listing, booking or review where applicable, accept a category and evidence, track ownership and resolution, and preserve an appeal path. Suspected credential fraud shall have an urgent queue and a documented suspension decision.</w:t>
      </w:r>
    </w:p>
    <w:p>
      <w:pPr>
        <w:pStyle w:val="Heading2"/>
      </w:pPr>
      <w:r>
        <w:t>Search engine and answer engine requirements</w:t>
      </w:r>
    </w:p>
    <w:p>
      <w:r>
        <w:rPr>
          <w:b w:val="0"/>
        </w:rPr>
      </w:r>
      <w:r>
        <w:rPr>
          <w:b/>
        </w:rPr>
        <w:t>SEO-01</w:t>
      </w:r>
      <w:r>
        <w:rPr>
          <w:b w:val="0"/>
        </w:rPr>
        <w:t xml:space="preserve"> Render public directory and profile content on the server or through an equivalent indexable output. Use descriptive titles, one main heading, canonical URLs, breadcrumbs, sitemap segmentation and internal links through geographic hierarchy. Avoid creating thin pages for every possible filter combination.</w:t>
      </w:r>
    </w:p>
    <w:p>
      <w:r>
        <w:rPr>
          <w:b w:val="0"/>
        </w:rPr>
      </w:r>
      <w:r>
        <w:rPr>
          <w:b/>
        </w:rPr>
        <w:t>SEO-02</w:t>
      </w:r>
      <w:r>
        <w:rPr>
          <w:b w:val="0"/>
        </w:rPr>
        <w:t xml:space="preserve"> Index approved profiles and curated location pages with useful unique content. Noindex account pages, booking steps, internal search combinations, drafts, unclaimed pages that fail content policy and empty location pages. Use authentication for privacy; noindex is not an access control. Do not block crawling before a required noindex directive can be processed.</w:t>
      </w:r>
    </w:p>
    <w:p>
      <w:r>
        <w:rPr>
          <w:b w:val="0"/>
        </w:rPr>
      </w:r>
      <w:r>
        <w:rPr>
          <w:b/>
        </w:rPr>
        <w:t>SEO-03</w:t>
      </w:r>
      <w:r>
        <w:rPr>
          <w:b w:val="0"/>
        </w:rPr>
        <w:t xml:space="preserve"> Use accurate JSON LD for Person and relevant clinic organisations or locations, with BreadcrumbList and appropriate visible review or offer data. Select schema types matching the entity; do not mark a physiotherapist as a medical physician simply to obtain a rich result. Validate against the actual schema vocabulary and current search engine rules before release.</w:t>
      </w:r>
    </w:p>
    <w:p>
      <w:r>
        <w:rPr>
          <w:b w:val="0"/>
        </w:rPr>
      </w:r>
      <w:r>
        <w:rPr>
          <w:b/>
        </w:rPr>
        <w:t>SEO-04</w:t>
      </w:r>
      <w:r>
        <w:rPr>
          <w:b w:val="0"/>
        </w:rPr>
        <w:t xml:space="preserve"> Structured data shall match visible content. Search engines decide whether to show rich results; schema does not guarantee enhanced display [S8]. Include clear service explanations, accessible FAQs, author details and dates for future educational content. AI generated medical claims shall not be published without qualified editorial review.</w:t>
      </w:r>
    </w:p>
    <w:p>
      <w:r>
        <w:rPr>
          <w:b w:val="0"/>
        </w:rPr>
      </w:r>
      <w:r>
        <w:rPr>
          <w:b/>
        </w:rPr>
        <w:t>SEO-05</w:t>
      </w:r>
      <w:r>
        <w:rPr>
          <w:b w:val="0"/>
        </w:rPr>
        <w:t xml:space="preserve"> Profile renames and geographic merges shall use permanent redirects. Suspended or removed profiles require a reasoned 404, 410, limited public page or noindex policy depending on the case. Purge stale public caches promptly; never leak a private field through HTML metadata or JSON LD.</w:t>
      </w:r>
    </w:p>
    <w:p>
      <w:pPr>
        <w:pStyle w:val="Heading1"/>
      </w:pPr>
      <w:r>
        <w:t>18 System architecture</w:t>
      </w:r>
    </w:p>
    <w:p>
      <w:pPr>
        <w:pStyle w:val="Heading2"/>
      </w:pPr>
      <w:r>
        <w:t>Recommended implementation approach</w:t>
      </w:r>
    </w:p>
    <w:p>
      <w:r>
        <w:rPr>
          <w:b w:val="0"/>
        </w:rPr>
        <w:t>Use a modular application with a responsive web frontend, server APIs and separate background workers. A TypeScript stack with an SSR capable frontend and a PostgreSQL compatible ORM is a suitable implementation option; the SRS does not mandate a specific framework or cloud host. Avoid introducing independently deployed microservices before operational scale requires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183B4E"/>
            <w:tcMar>
              <w:top w:w="85" w:type="dxa"/>
              <w:left w:w="85" w:type="dxa"/>
              <w:bottom w:w="85" w:type="dxa"/>
              <w:right w:w="85" w:type="dxa"/>
            </w:tcMar>
          </w:tcPr>
          <w:p>
            <w:pPr>
              <w:spacing w:after="20" w:line="245" w:lineRule="auto"/>
            </w:pPr>
            <w:r>
              <w:rPr>
                <w:b/>
                <w:color w:val="FFFFFF"/>
                <w:sz w:val="20"/>
              </w:rPr>
              <w:t>Component</w:t>
            </w:r>
          </w:p>
        </w:tc>
        <w:tc>
          <w:tcPr>
            <w:tcW w:type="dxa" w:w="7214"/>
            <w:vAlign w:val="center"/>
            <w:shd w:fill="183B4E"/>
            <w:tcMar>
              <w:top w:w="85" w:type="dxa"/>
              <w:left w:w="85" w:type="dxa"/>
              <w:bottom w:w="85" w:type="dxa"/>
              <w:right w:w="85" w:type="dxa"/>
            </w:tcMar>
          </w:tcPr>
          <w:p>
            <w:pPr>
              <w:spacing w:after="20" w:line="245" w:lineRule="auto"/>
            </w:pPr>
            <w:r>
              <w:rPr>
                <w:b/>
                <w:color w:val="FFFFFF"/>
                <w:sz w:val="20"/>
              </w:rPr>
              <w:t>Responsibility and boundary</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Public web and authenticated workspaces</w:t>
            </w:r>
          </w:p>
        </w:tc>
        <w:tc>
          <w:tcPr>
            <w:tcW w:type="dxa" w:w="7214"/>
            <w:vAlign w:val="center"/>
            <w:shd w:fill="FFFFFF"/>
            <w:tcMar>
              <w:top w:w="85" w:type="dxa"/>
              <w:left w:w="85" w:type="dxa"/>
              <w:bottom w:w="85" w:type="dxa"/>
              <w:right w:w="85" w:type="dxa"/>
            </w:tcMar>
          </w:tcPr>
          <w:p>
            <w:pPr>
              <w:spacing w:after="20" w:line="245" w:lineRule="auto"/>
            </w:pPr>
            <w:r>
              <w:rPr>
                <w:b w:val="0"/>
                <w:sz w:val="20"/>
              </w:rPr>
              <w:t>Accessible screens, rendering, user input and optimistic feedback; no privileged database secrets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Application API</w:t>
            </w:r>
          </w:p>
        </w:tc>
        <w:tc>
          <w:tcPr>
            <w:tcW w:type="dxa" w:w="7214"/>
            <w:vAlign w:val="center"/>
            <w:shd w:fill="F0F4F6"/>
            <w:tcMar>
              <w:top w:w="85" w:type="dxa"/>
              <w:left w:w="85" w:type="dxa"/>
              <w:bottom w:w="85" w:type="dxa"/>
              <w:right w:w="85" w:type="dxa"/>
            </w:tcMar>
          </w:tcPr>
          <w:p>
            <w:pPr>
              <w:spacing w:after="20" w:line="245" w:lineRule="auto"/>
            </w:pPr>
            <w:r>
              <w:rPr>
                <w:b w:val="0"/>
                <w:sz w:val="20"/>
              </w:rPr>
              <w:t>Authentication, authorisation, validation, booking transactions, profile publication and pricing</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Neon PostgreSQL</w:t>
            </w:r>
          </w:p>
        </w:tc>
        <w:tc>
          <w:tcPr>
            <w:tcW w:type="dxa" w:w="7214"/>
            <w:vAlign w:val="center"/>
            <w:shd w:fill="FFFFFF"/>
            <w:tcMar>
              <w:top w:w="85" w:type="dxa"/>
              <w:left w:w="85" w:type="dxa"/>
              <w:bottom w:w="85" w:type="dxa"/>
              <w:right w:w="85" w:type="dxa"/>
            </w:tcMar>
          </w:tcPr>
          <w:p>
            <w:pPr>
              <w:spacing w:after="20" w:line="245" w:lineRule="auto"/>
            </w:pPr>
            <w:r>
              <w:rPr>
                <w:b w:val="0"/>
                <w:sz w:val="20"/>
              </w:rPr>
              <w:t>Authoritative identities, relationships, calendar reservations, bookings, configurations and audit metadata</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Object storage and CDN</w:t>
            </w:r>
          </w:p>
        </w:tc>
        <w:tc>
          <w:tcPr>
            <w:tcW w:type="dxa" w:w="7214"/>
            <w:vAlign w:val="center"/>
            <w:shd w:fill="F0F4F6"/>
            <w:tcMar>
              <w:top w:w="85" w:type="dxa"/>
              <w:left w:w="85" w:type="dxa"/>
              <w:bottom w:w="85" w:type="dxa"/>
              <w:right w:w="85" w:type="dxa"/>
            </w:tcMar>
          </w:tcPr>
          <w:p>
            <w:pPr>
              <w:spacing w:after="20" w:line="245" w:lineRule="auto"/>
            </w:pPr>
            <w:r>
              <w:rPr>
                <w:b w:val="0"/>
                <w:sz w:val="20"/>
              </w:rPr>
              <w:t>Public image derivatives and isolated private evidence objects with controlled access</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Queue and scheduler</w:t>
            </w:r>
          </w:p>
        </w:tc>
        <w:tc>
          <w:tcPr>
            <w:tcW w:type="dxa" w:w="7214"/>
            <w:vAlign w:val="center"/>
            <w:shd w:fill="FFFFFF"/>
            <w:tcMar>
              <w:top w:w="85" w:type="dxa"/>
              <w:left w:w="85" w:type="dxa"/>
              <w:bottom w:w="85" w:type="dxa"/>
              <w:right w:w="85" w:type="dxa"/>
            </w:tcMar>
          </w:tcPr>
          <w:p>
            <w:pPr>
              <w:spacing w:after="20" w:line="245" w:lineRule="auto"/>
            </w:pPr>
            <w:r>
              <w:rPr>
                <w:b w:val="0"/>
                <w:sz w:val="20"/>
              </w:rPr>
              <w:t>Outbox delivery, reminders, expiry, imports, image scanning, aggregates and exports</w:t>
            </w:r>
          </w:p>
        </w:tc>
      </w:tr>
      <w:tr>
        <w:trPr>
          <w:cantSplit/>
        </w:trPr>
        <w:tc>
          <w:tcPr>
            <w:tcW w:type="dxa" w:w="2952"/>
            <w:vAlign w:val="center"/>
            <w:shd w:fill="F0F4F6"/>
            <w:tcMar>
              <w:top w:w="85" w:type="dxa"/>
              <w:left w:w="85" w:type="dxa"/>
              <w:bottom w:w="85" w:type="dxa"/>
              <w:right w:w="85" w:type="dxa"/>
            </w:tcMar>
          </w:tcPr>
          <w:p>
            <w:pPr>
              <w:spacing w:after="20" w:line="245" w:lineRule="auto"/>
            </w:pPr>
            <w:r>
              <w:rPr>
                <w:b w:val="0"/>
                <w:sz w:val="20"/>
              </w:rPr>
              <w:t>Cache and search projection</w:t>
            </w:r>
          </w:p>
        </w:tc>
        <w:tc>
          <w:tcPr>
            <w:tcW w:type="dxa" w:w="7214"/>
            <w:vAlign w:val="center"/>
            <w:shd w:fill="F0F4F6"/>
            <w:tcMar>
              <w:top w:w="85" w:type="dxa"/>
              <w:left w:w="85" w:type="dxa"/>
              <w:bottom w:w="85" w:type="dxa"/>
              <w:right w:w="85" w:type="dxa"/>
            </w:tcMar>
          </w:tcPr>
          <w:p>
            <w:pPr>
              <w:spacing w:after="20" w:line="245" w:lineRule="auto"/>
            </w:pPr>
            <w:r>
              <w:rPr>
                <w:b w:val="0"/>
                <w:sz w:val="20"/>
              </w:rPr>
              <w:t>Public directory acceleration and rate limits; replaceable, never authoritative for booking capacity</w:t>
            </w:r>
          </w:p>
        </w:tc>
      </w:tr>
      <w:tr>
        <w:trPr>
          <w:cantSplit/>
        </w:trPr>
        <w:tc>
          <w:tcPr>
            <w:tcW w:type="dxa" w:w="2952"/>
            <w:vAlign w:val="center"/>
            <w:shd w:fill="FFFFFF"/>
            <w:tcMar>
              <w:top w:w="85" w:type="dxa"/>
              <w:left w:w="85" w:type="dxa"/>
              <w:bottom w:w="85" w:type="dxa"/>
              <w:right w:w="85" w:type="dxa"/>
            </w:tcMar>
          </w:tcPr>
          <w:p>
            <w:pPr>
              <w:spacing w:after="20" w:line="245" w:lineRule="auto"/>
            </w:pPr>
            <w:r>
              <w:rPr>
                <w:b w:val="0"/>
                <w:sz w:val="20"/>
              </w:rPr>
              <w:t>External services</w:t>
            </w:r>
          </w:p>
        </w:tc>
        <w:tc>
          <w:tcPr>
            <w:tcW w:type="dxa" w:w="7214"/>
            <w:vAlign w:val="center"/>
            <w:shd w:fill="FFFFFF"/>
            <w:tcMar>
              <w:top w:w="85" w:type="dxa"/>
              <w:left w:w="85" w:type="dxa"/>
              <w:bottom w:w="85" w:type="dxa"/>
              <w:right w:w="85" w:type="dxa"/>
            </w:tcMar>
          </w:tcPr>
          <w:p>
            <w:pPr>
              <w:spacing w:after="20" w:line="245" w:lineRule="auto"/>
            </w:pPr>
            <w:r>
              <w:rPr>
                <w:b w:val="0"/>
                <w:sz w:val="20"/>
              </w:rPr>
              <w:t>OTP, email or SMS, maps and geocoding; optional WhatsApp and later gateway or calendar providers</w:t>
            </w:r>
          </w:p>
        </w:tc>
      </w:tr>
    </w:tbl>
    <w:p>
      <w:pPr>
        <w:spacing w:after="0" w:line="60" w:lineRule="exact"/>
      </w:pPr>
      <w:r>
        <w:rPr>
          <w:sz w:val="6"/>
        </w:rPr>
      </w:r>
    </w:p>
    <w:p>
      <w:pPr>
        <w:pStyle w:val="Heading2"/>
      </w:pPr>
      <w:r>
        <w:t>Data movement and consistency</w:t>
      </w:r>
    </w:p>
    <w:p>
      <w:r>
        <w:rPr>
          <w:b w:val="0"/>
        </w:rPr>
      </w:r>
      <w:r>
        <w:rPr>
          <w:b/>
        </w:rPr>
        <w:t>DAT-02</w:t>
      </w:r>
      <w:r>
        <w:rPr>
          <w:b w:val="0"/>
        </w:rPr>
        <w:t xml:space="preserve"> Public read models shall contain only approved fields. Publication emits a durable event that refreshes directory projections, sitemaps and caches. Emergency suppression bypasses ordinary refresh delay and is enforced at the API as well as the presentation layer.</w:t>
      </w:r>
    </w:p>
    <w:p>
      <w:r>
        <w:rPr>
          <w:b w:val="0"/>
        </w:rPr>
      </w:r>
      <w:r>
        <w:rPr>
          <w:b/>
        </w:rPr>
        <w:t>DAT-03</w:t>
      </w:r>
      <w:r>
        <w:rPr>
          <w:b w:val="0"/>
        </w:rPr>
        <w:t xml:space="preserve"> A committed business change and its outbox event shall be written in the same Neon transaction. Workers claim events safely, retry on temporary failure and record completion. Consumers must tolerate repeated delivery. Do not promise exactly once delivery across external providers.</w:t>
      </w:r>
    </w:p>
    <w:p>
      <w:r>
        <w:rPr>
          <w:b w:val="0"/>
        </w:rPr>
      </w:r>
      <w:r>
        <w:rPr>
          <w:b/>
        </w:rPr>
        <w:t>DAT-04</w:t>
      </w:r>
      <w:r>
        <w:rPr>
          <w:b w:val="0"/>
        </w:rPr>
        <w:t xml:space="preserve"> Use object storage keys rather than arbitrary client supplied URLs for private evidence. Uploads shall be quarantined until type checks and malware scanning succeed. A failed scan shall block review and publication. Use separate public and private storage policies and strip metadata from public image derivatives.</w:t>
      </w:r>
    </w:p>
    <w:p>
      <w:r>
        <w:rPr>
          <w:b w:val="0"/>
        </w:rPr>
      </w:r>
      <w:r>
        <w:rPr>
          <w:b/>
        </w:rPr>
        <w:t>API-01</w:t>
      </w:r>
      <w:r>
        <w:rPr>
          <w:b w:val="0"/>
        </w:rPr>
        <w:t xml:space="preserve"> Integrations shall sit behind provider adapters with timeouts, retry rules and circuit breakers. Public directory browsing should remain usable during a messaging outage. Booking shall fail safely when the authoritative database is unavailable rather than showing a false confirmation.</w:t>
      </w:r>
    </w:p>
    <w:p>
      <w:r>
        <w:rPr>
          <w:b w:val="0"/>
        </w:rPr>
      </w:r>
      <w:r>
        <w:rPr>
          <w:b/>
        </w:rPr>
        <w:t>API-02</w:t>
      </w:r>
      <w:r>
        <w:rPr>
          <w:b w:val="0"/>
        </w:rPr>
        <w:t xml:space="preserve"> Geocoding and map use require a chosen provider, licensed use and cost controls. Manual address entry remains available when map services fail. Do not make an unauthorised map scraping service a production dependency.</w:t>
      </w:r>
    </w:p>
    <w:p>
      <w:pPr>
        <w:pStyle w:val="Heading2"/>
      </w:pPr>
      <w:r>
        <w:t>Trust boundaries</w:t>
      </w:r>
    </w:p>
    <w:p>
      <w:r>
        <w:rPr>
          <w:b w:val="0"/>
        </w:rPr>
        <w:t>Browsers may submit data and receive scoped results; they shall not use an owner database credential. Server identities shall be separated for application writes, workers, analytics and migrations. The platform database, storage objects, external tokens, logs and backups all belong in the data access and deletion inventory.</w:t>
      </w:r>
    </w:p>
    <w:p>
      <w:pPr>
        <w:pStyle w:val="Heading1"/>
      </w:pPr>
      <w:r>
        <w:t>19 Neon database deployment requirements</w:t>
      </w:r>
    </w:p>
    <w:p>
      <w:pPr>
        <w:pStyle w:val="Heading2"/>
      </w:pPr>
      <w:r>
        <w:t>Connections and environment isolation</w:t>
      </w:r>
    </w:p>
    <w:p>
      <w:r>
        <w:rPr>
          <w:b w:val="0"/>
        </w:rPr>
      </w:r>
      <w:r>
        <w:rPr>
          <w:b/>
        </w:rPr>
        <w:t>DAT-05</w:t>
      </w:r>
      <w:r>
        <w:rPr>
          <w:b w:val="0"/>
        </w:rPr>
        <w:t xml:space="preserve"> Use TLS and a least privilege application role. Use Neon's pooled connection endpoint for normal web traffic and direct connections for migrations and operations that require session features. Neon uses transaction pooling, so session level state and session advisory locks shall not be relied on for request isolation [S4].</w:t>
      </w:r>
    </w:p>
    <w:p>
      <w:r>
        <w:rPr>
          <w:b w:val="0"/>
        </w:rPr>
      </w:r>
      <w:r>
        <w:rPr>
          <w:b/>
        </w:rPr>
        <w:t>DAT-06</w:t>
      </w:r>
      <w:r>
        <w:rPr>
          <w:b w:val="0"/>
        </w:rPr>
        <w:t xml:space="preserve"> Separate production from development and staging, with different credentials, storage and external service keys. Preview environments shall use schema only branches or synthetic and irreversibly anonymised data. A production database branch may contain real patient data and is not automatically safe for testing [S6].</w:t>
      </w:r>
    </w:p>
    <w:p>
      <w:r>
        <w:rPr>
          <w:b w:val="0"/>
        </w:rPr>
      </w:r>
      <w:r>
        <w:rPr>
          <w:b/>
        </w:rPr>
        <w:t>DAT-07</w:t>
      </w:r>
      <w:r>
        <w:rPr>
          <w:b w:val="0"/>
        </w:rPr>
        <w:t xml:space="preserve"> Verify the selected PostgreSQL version, extensions, compute region, limits and paid plan capabilities before provisioning. Select an application region near the database. Record the actual region and all subprocessors; do not claim India only hosting without verifying every relevant service.</w:t>
      </w:r>
    </w:p>
    <w:p>
      <w:pPr>
        <w:pStyle w:val="Heading2"/>
      </w:pPr>
      <w:r>
        <w:t>Supported query design</w:t>
      </w:r>
    </w:p>
    <w:p>
      <w:r>
        <w:rPr>
          <w:b w:val="0"/>
        </w:rPr>
      </w:r>
      <w:r>
        <w:rPr>
          <w:b/>
        </w:rPr>
        <w:t>DAT-08</w:t>
      </w:r>
      <w:r>
        <w:rPr>
          <w:b w:val="0"/>
        </w:rPr>
        <w:t xml:space="preserve"> Use ordinary relational columns and foreign keys for core entities. JSONB is appropriate for bounded snapshots and provider payload metadata, not for hiding bookings, relationships or searchable credentials inside one document. All primary entities shall have UUID identifiers and timestamps.</w:t>
      </w:r>
    </w:p>
    <w:p>
      <w:r>
        <w:rPr>
          <w:b w:val="0"/>
        </w:rPr>
      </w:r>
      <w:r>
        <w:rPr>
          <w:b/>
        </w:rPr>
        <w:t>DAT-09</w:t>
      </w:r>
      <w:r>
        <w:rPr>
          <w:b w:val="0"/>
        </w:rPr>
        <w:t xml:space="preserve"> PostgreSQL full text search and pg_trgm should serve the launch directory. PostGIS may support radius queries. Neon lists pg_trgm, PostGIS and btree_gist extensions; confirm availability for the provisioned version during setup [S5]. Add an external search engine only after measuring a concrete performance or relevance limitation.</w:t>
      </w:r>
    </w:p>
    <w:p>
      <w:r>
        <w:rPr>
          <w:b w:val="0"/>
        </w:rPr>
      </w:r>
      <w:r>
        <w:rPr>
          <w:b/>
        </w:rPr>
        <w:t>DAT-10</w:t>
      </w:r>
      <w:r>
        <w:rPr>
          <w:b w:val="0"/>
        </w:rPr>
        <w:t xml:space="preserve"> Booking code shall use a driver path supporting the required multi statement transaction and row locks on one transaction context. Validate compatibility with the chosen ORM and serverless runtime. Do not divide lock acquisition and booking writes across independent HTTP database calls.</w:t>
      </w:r>
    </w:p>
    <w:p>
      <w:pPr>
        <w:pStyle w:val="Heading2"/>
      </w:pPr>
      <w:r>
        <w:t>Operations and recovery</w:t>
      </w:r>
    </w:p>
    <w:p>
      <w:r>
        <w:rPr>
          <w:b w:val="0"/>
        </w:rPr>
      </w:r>
      <w:r>
        <w:rPr>
          <w:b/>
        </w:rPr>
        <w:t>DAT-11</w:t>
      </w:r>
      <w:r>
        <w:rPr>
          <w:b w:val="0"/>
        </w:rPr>
        <w:t xml:space="preserve"> Use ordered, version controlled migrations, reviewed indexes and rollback or forward repair procedures. The runtime role shall not own the schema or run migrations. Test migrations against a realistic synthetic dataset and ensure deploy order supports old and new application versions during rollout.</w:t>
      </w:r>
    </w:p>
    <w:p>
      <w:r>
        <w:rPr>
          <w:b w:val="0"/>
        </w:rPr>
      </w:r>
      <w:r>
        <w:rPr>
          <w:b/>
        </w:rPr>
        <w:t>DAT-12</w:t>
      </w:r>
      <w:r>
        <w:rPr>
          <w:b w:val="0"/>
        </w:rPr>
        <w:t xml:space="preserve"> Configure recovery history and backups to meet the agreed RPO and RTO. Plan features and restore windows vary; document the purchased configuration. Keep protected logical exports if needed for independent recovery, and test restores in isolation. Database branching is useful operationally but is not the entire disaster recovery plan.</w:t>
      </w:r>
    </w:p>
    <w:p>
      <w:r>
        <w:rPr>
          <w:b w:val="0"/>
        </w:rPr>
      </w:r>
      <w:r>
        <w:rPr>
          <w:b/>
        </w:rPr>
        <w:t>DAT-13</w:t>
      </w:r>
      <w:r>
        <w:rPr>
          <w:b w:val="0"/>
        </w:rPr>
        <w:t xml:space="preserve"> Monitor query latency, compute saturation, pool wait, active transactions, storage growth and restore readiness. Set budget alerts and inspect expensive search and analytics queries. Scale to zero behaviour must be measured against booking latency goals; disable it for the production booking workload if necessary and supported.</w:t>
      </w:r>
    </w:p>
    <w:p>
      <w:pPr>
        <w:pStyle w:val="Heading1"/>
        <w:pageBreakBefore/>
      </w:pPr>
      <w:r>
        <w:t>20 Identity and directory data model</w:t>
      </w:r>
    </w:p>
    <w:p>
      <w:pPr>
        <w:pStyle w:val="Heading2"/>
      </w:pPr>
      <w:r>
        <w:t>Data dictionary conventions</w:t>
      </w:r>
    </w:p>
    <w:p>
      <w:r>
        <w:rPr>
          <w:b w:val="0"/>
        </w:rPr>
      </w:r>
      <w:r>
        <w:rPr>
          <w:b/>
        </w:rPr>
        <w:t>DAT-14</w:t>
      </w:r>
      <w:r>
        <w:rPr>
          <w:b w:val="0"/>
        </w:rPr>
        <w:t xml:space="preserve"> The following is a logical schema to be converted to reviewed migrations. Each entity uses a UUID primary key, created_at and updated_at as timestamptz, except append only events which use occurred_at. Foreign keys use UUID unless stated. Fields are required unless marked optional. Statuses are controlled values, not arbitrary text. Public IDs are separate from private account identifiers.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88"/>
        <w:gridCol w:w="3946"/>
      </w:tblGrid>
      <w:tr>
        <w:trPr>
          <w:cantSplit/>
          <w:tblHeader/>
        </w:trPr>
        <w:tc>
          <w:tcPr>
            <w:tcW w:type="dxa" w:w="2333"/>
            <w:vAlign w:val="center"/>
            <w:shd w:fill="183B4E"/>
            <w:tcMar>
              <w:top w:w="85" w:type="dxa"/>
              <w:left w:w="85" w:type="dxa"/>
              <w:bottom w:w="85" w:type="dxa"/>
              <w:right w:w="85" w:type="dxa"/>
            </w:tcMar>
          </w:tcPr>
          <w:p>
            <w:pPr>
              <w:spacing w:after="20" w:line="245" w:lineRule="auto"/>
            </w:pPr>
            <w:r>
              <w:rPr>
                <w:b/>
                <w:color w:val="FFFFFF"/>
                <w:sz w:val="20"/>
              </w:rPr>
              <w:t>Entity</w:t>
            </w:r>
          </w:p>
        </w:tc>
        <w:tc>
          <w:tcPr>
            <w:tcW w:type="dxa" w:w="3888"/>
            <w:vAlign w:val="center"/>
            <w:shd w:fill="183B4E"/>
            <w:tcMar>
              <w:top w:w="85" w:type="dxa"/>
              <w:left w:w="85" w:type="dxa"/>
              <w:bottom w:w="85" w:type="dxa"/>
              <w:right w:w="85" w:type="dxa"/>
            </w:tcMar>
          </w:tcPr>
          <w:p>
            <w:pPr>
              <w:spacing w:after="20" w:line="245" w:lineRule="auto"/>
            </w:pPr>
            <w:r>
              <w:rPr>
                <w:b/>
                <w:color w:val="FFFFFF"/>
                <w:sz w:val="20"/>
              </w:rPr>
              <w:t>Principal fields</w:t>
            </w:r>
          </w:p>
        </w:tc>
        <w:tc>
          <w:tcPr>
            <w:tcW w:type="dxa" w:w="3946"/>
            <w:vAlign w:val="center"/>
            <w:shd w:fill="183B4E"/>
            <w:tcMar>
              <w:top w:w="85" w:type="dxa"/>
              <w:left w:w="85" w:type="dxa"/>
              <w:bottom w:w="85" w:type="dxa"/>
              <w:right w:w="85" w:type="dxa"/>
            </w:tcMar>
          </w:tcPr>
          <w:p>
            <w:pPr>
              <w:spacing w:after="20" w:line="245" w:lineRule="auto"/>
            </w:pPr>
            <w:r>
              <w:rPr>
                <w:b/>
                <w:color w:val="FFFFFF"/>
                <w:sz w:val="20"/>
              </w:rPr>
              <w:t>Relationships and constraints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users</w:t>
            </w:r>
          </w:p>
        </w:tc>
        <w:tc>
          <w:tcPr>
            <w:tcW w:type="dxa" w:w="3888"/>
            <w:vAlign w:val="center"/>
            <w:shd w:fill="FFFFFF"/>
            <w:tcMar>
              <w:top w:w="85" w:type="dxa"/>
              <w:left w:w="85" w:type="dxa"/>
              <w:bottom w:w="85" w:type="dxa"/>
              <w:right w:w="85" w:type="dxa"/>
            </w:tcMar>
          </w:tcPr>
          <w:p>
            <w:pPr>
              <w:spacing w:after="20" w:line="245" w:lineRule="auto"/>
            </w:pPr>
            <w:r>
              <w:rPr>
                <w:b w:val="0"/>
                <w:sz w:val="20"/>
              </w:rPr>
              <w:t>auth_subject text, mobile text optional, email text optional, status</w:t>
            </w:r>
          </w:p>
        </w:tc>
        <w:tc>
          <w:tcPr>
            <w:tcW w:type="dxa" w:w="3946"/>
            <w:vAlign w:val="center"/>
            <w:shd w:fill="FFFFFF"/>
            <w:tcMar>
              <w:top w:w="85" w:type="dxa"/>
              <w:left w:w="85" w:type="dxa"/>
              <w:bottom w:w="85" w:type="dxa"/>
              <w:right w:w="85" w:type="dxa"/>
            </w:tcMar>
          </w:tcPr>
          <w:p>
            <w:pPr>
              <w:spacing w:after="20" w:line="245" w:lineRule="auto"/>
            </w:pPr>
            <w:r>
              <w:rPr>
                <w:b w:val="0"/>
                <w:sz w:val="20"/>
              </w:rPr>
              <w:t>Unique auth subject; verified login identifiers unique; no plaintext credentials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role_assignments</w:t>
            </w:r>
          </w:p>
        </w:tc>
        <w:tc>
          <w:tcPr>
            <w:tcW w:type="dxa" w:w="3888"/>
            <w:vAlign w:val="center"/>
            <w:shd w:fill="F0F4F6"/>
            <w:tcMar>
              <w:top w:w="85" w:type="dxa"/>
              <w:left w:w="85" w:type="dxa"/>
              <w:bottom w:w="85" w:type="dxa"/>
              <w:right w:w="85" w:type="dxa"/>
            </w:tcMar>
          </w:tcPr>
          <w:p>
            <w:pPr>
              <w:spacing w:after="20" w:line="245" w:lineRule="auto"/>
            </w:pPr>
            <w:r>
              <w:rPr>
                <w:b w:val="0"/>
                <w:sz w:val="20"/>
              </w:rPr>
              <w:t>user_id, role, scope_type, scope_id optional, expires_at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Scope required outside global roles; approved invitation or grant</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patients</w:t>
            </w:r>
          </w:p>
        </w:tc>
        <w:tc>
          <w:tcPr>
            <w:tcW w:type="dxa" w:w="3888"/>
            <w:vAlign w:val="center"/>
            <w:shd w:fill="FFFFFF"/>
            <w:tcMar>
              <w:top w:w="85" w:type="dxa"/>
              <w:left w:w="85" w:type="dxa"/>
              <w:bottom w:w="85" w:type="dxa"/>
              <w:right w:w="85" w:type="dxa"/>
            </w:tcMar>
          </w:tcPr>
          <w:p>
            <w:pPr>
              <w:spacing w:after="20" w:line="245" w:lineRule="auto"/>
            </w:pPr>
            <w:r>
              <w:rPr>
                <w:b w:val="0"/>
                <w:sz w:val="20"/>
              </w:rPr>
              <w:t>account_user_id optional, display_name, age_band optional, status</w:t>
            </w:r>
          </w:p>
        </w:tc>
        <w:tc>
          <w:tcPr>
            <w:tcW w:type="dxa" w:w="3946"/>
            <w:vAlign w:val="center"/>
            <w:shd w:fill="FFFFFF"/>
            <w:tcMar>
              <w:top w:w="85" w:type="dxa"/>
              <w:left w:w="85" w:type="dxa"/>
              <w:bottom w:w="85" w:type="dxa"/>
              <w:right w:w="85" w:type="dxa"/>
            </w:tcMar>
          </w:tcPr>
          <w:p>
            <w:pPr>
              <w:spacing w:after="20" w:line="245" w:lineRule="auto"/>
            </w:pPr>
            <w:r>
              <w:rPr>
                <w:b w:val="0"/>
                <w:sz w:val="20"/>
              </w:rPr>
              <w:t>Patient identity distinct from login; supports staff entered and dependant records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guardian_links</w:t>
            </w:r>
          </w:p>
        </w:tc>
        <w:tc>
          <w:tcPr>
            <w:tcW w:type="dxa" w:w="3888"/>
            <w:vAlign w:val="center"/>
            <w:shd w:fill="F0F4F6"/>
            <w:tcMar>
              <w:top w:w="85" w:type="dxa"/>
              <w:left w:w="85" w:type="dxa"/>
              <w:bottom w:w="85" w:type="dxa"/>
              <w:right w:w="85" w:type="dxa"/>
            </w:tcMar>
          </w:tcPr>
          <w:p>
            <w:pPr>
              <w:spacing w:after="20" w:line="245" w:lineRule="auto"/>
            </w:pPr>
            <w:r>
              <w:rPr>
                <w:b w:val="0"/>
                <w:sz w:val="20"/>
              </w:rPr>
              <w:t>guardian_user_id, patient_id, relationship, verification_state, consent_id</w:t>
            </w:r>
          </w:p>
        </w:tc>
        <w:tc>
          <w:tcPr>
            <w:tcW w:type="dxa" w:w="3946"/>
            <w:vAlign w:val="center"/>
            <w:shd w:fill="F0F4F6"/>
            <w:tcMar>
              <w:top w:w="85" w:type="dxa"/>
              <w:left w:w="85" w:type="dxa"/>
              <w:bottom w:w="85" w:type="dxa"/>
              <w:right w:w="85" w:type="dxa"/>
            </w:tcMar>
          </w:tcPr>
          <w:p>
            <w:pPr>
              <w:spacing w:after="20" w:line="245" w:lineRule="auto"/>
            </w:pPr>
            <w:r>
              <w:rPr>
                <w:b w:val="0"/>
                <w:sz w:val="20"/>
              </w:rPr>
              <w:t>Explicit authority, scope and revocation; no inferred household access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practitioners</w:t>
            </w:r>
          </w:p>
        </w:tc>
        <w:tc>
          <w:tcPr>
            <w:tcW w:type="dxa" w:w="3888"/>
            <w:vAlign w:val="center"/>
            <w:shd w:fill="FFFFFF"/>
            <w:tcMar>
              <w:top w:w="85" w:type="dxa"/>
              <w:left w:w="85" w:type="dxa"/>
              <w:bottom w:w="85" w:type="dxa"/>
              <w:right w:w="85" w:type="dxa"/>
            </w:tcMar>
          </w:tcPr>
          <w:p>
            <w:pPr>
              <w:spacing w:after="20" w:line="245" w:lineRule="auto"/>
            </w:pPr>
            <w:r>
              <w:rPr>
                <w:b w:val="0"/>
                <w:sz w:val="20"/>
              </w:rPr>
              <w:t>owner_user_id optional, public_id text, slug text, listing_status, booking_eligible</w:t>
            </w:r>
          </w:p>
        </w:tc>
        <w:tc>
          <w:tcPr>
            <w:tcW w:type="dxa" w:w="3946"/>
            <w:vAlign w:val="center"/>
            <w:shd w:fill="FFFFFF"/>
            <w:tcMar>
              <w:top w:w="85" w:type="dxa"/>
              <w:left w:w="85" w:type="dxa"/>
              <w:bottom w:w="85" w:type="dxa"/>
              <w:right w:w="85" w:type="dxa"/>
            </w:tcMar>
          </w:tcPr>
          <w:p>
            <w:pPr>
              <w:spacing w:after="20" w:line="245" w:lineRule="auto"/>
            </w:pPr>
            <w:r>
              <w:rPr>
                <w:b w:val="0"/>
                <w:sz w:val="20"/>
              </w:rPr>
              <w:t>Unique public ID; owner optional for unclaimed listing; one canonical professional identity</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profile_versions</w:t>
            </w:r>
          </w:p>
        </w:tc>
        <w:tc>
          <w:tcPr>
            <w:tcW w:type="dxa" w:w="3888"/>
            <w:vAlign w:val="center"/>
            <w:shd w:fill="F0F4F6"/>
            <w:tcMar>
              <w:top w:w="85" w:type="dxa"/>
              <w:left w:w="85" w:type="dxa"/>
              <w:bottom w:w="85" w:type="dxa"/>
              <w:right w:w="85" w:type="dxa"/>
            </w:tcMar>
          </w:tcPr>
          <w:p>
            <w:pPr>
              <w:spacing w:after="20" w:line="245" w:lineRule="auto"/>
            </w:pPr>
            <w:r>
              <w:rPr>
                <w:b w:val="0"/>
                <w:sz w:val="20"/>
              </w:rPr>
              <w:t>practitioner_id, version int, structured_content jsonb, state, submitted_at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Unique practitioner and version; published_version pointer on practitioner</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qualifications</w:t>
            </w:r>
          </w:p>
        </w:tc>
        <w:tc>
          <w:tcPr>
            <w:tcW w:type="dxa" w:w="3888"/>
            <w:vAlign w:val="center"/>
            <w:shd w:fill="FFFFFF"/>
            <w:tcMar>
              <w:top w:w="85" w:type="dxa"/>
              <w:left w:w="85" w:type="dxa"/>
              <w:bottom w:w="85" w:type="dxa"/>
              <w:right w:w="85" w:type="dxa"/>
            </w:tcMar>
          </w:tcPr>
          <w:p>
            <w:pPr>
              <w:spacing w:after="20" w:line="245" w:lineRule="auto"/>
            </w:pPr>
            <w:r>
              <w:rPr>
                <w:b w:val="0"/>
                <w:sz w:val="20"/>
              </w:rPr>
              <w:t>practitioner_id, degree, institution, completion_year, evidence_id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Structured public data; evidence points to private object</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experiences</w:t>
            </w:r>
          </w:p>
        </w:tc>
        <w:tc>
          <w:tcPr>
            <w:tcW w:type="dxa" w:w="3888"/>
            <w:vAlign w:val="center"/>
            <w:shd w:fill="F0F4F6"/>
            <w:tcMar>
              <w:top w:w="85" w:type="dxa"/>
              <w:left w:w="85" w:type="dxa"/>
              <w:bottom w:w="85" w:type="dxa"/>
              <w:right w:w="85" w:type="dxa"/>
            </w:tcMar>
          </w:tcPr>
          <w:p>
            <w:pPr>
              <w:spacing w:after="20" w:line="245" w:lineRule="auto"/>
            </w:pPr>
            <w:r>
              <w:rPr>
                <w:b w:val="0"/>
                <w:sz w:val="20"/>
              </w:rPr>
              <w:t>practitioner_id, role, organisation_name, start_month date, end_month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End not before start; overlapping roles permitted</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credentials</w:t>
            </w:r>
          </w:p>
        </w:tc>
        <w:tc>
          <w:tcPr>
            <w:tcW w:type="dxa" w:w="3888"/>
            <w:vAlign w:val="center"/>
            <w:shd w:fill="FFFFFF"/>
            <w:tcMar>
              <w:top w:w="85" w:type="dxa"/>
              <w:left w:w="85" w:type="dxa"/>
              <w:bottom w:w="85" w:type="dxa"/>
              <w:right w:w="85" w:type="dxa"/>
            </w:tcMar>
          </w:tcPr>
          <w:p>
            <w:pPr>
              <w:spacing w:after="20" w:line="245" w:lineRule="auto"/>
            </w:pPr>
            <w:r>
              <w:rPr>
                <w:b w:val="0"/>
                <w:sz w:val="20"/>
              </w:rPr>
              <w:t>practitioner_id, authority_id, type, number_original, number_normalised, expires_on optional, status</w:t>
            </w:r>
          </w:p>
        </w:tc>
        <w:tc>
          <w:tcPr>
            <w:tcW w:type="dxa" w:w="3946"/>
            <w:vAlign w:val="center"/>
            <w:shd w:fill="FFFFFF"/>
            <w:tcMar>
              <w:top w:w="85" w:type="dxa"/>
              <w:left w:w="85" w:type="dxa"/>
              <w:bottom w:w="85" w:type="dxa"/>
              <w:right w:w="85" w:type="dxa"/>
            </w:tcMar>
          </w:tcPr>
          <w:p>
            <w:pPr>
              <w:spacing w:after="20" w:line="245" w:lineRule="auto"/>
            </w:pPr>
            <w:r>
              <w:rPr>
                <w:b w:val="0"/>
                <w:sz w:val="20"/>
              </w:rPr>
              <w:t>Duplicate check within authority, type and jurisdiction; evidence in separate records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credential_authorities</w:t>
            </w:r>
          </w:p>
        </w:tc>
        <w:tc>
          <w:tcPr>
            <w:tcW w:type="dxa" w:w="3888"/>
            <w:vAlign w:val="center"/>
            <w:shd w:fill="F0F4F6"/>
            <w:tcMar>
              <w:top w:w="85" w:type="dxa"/>
              <w:left w:w="85" w:type="dxa"/>
              <w:bottom w:w="85" w:type="dxa"/>
              <w:right w:w="85" w:type="dxa"/>
            </w:tcMar>
          </w:tcPr>
          <w:p>
            <w:pPr>
              <w:spacing w:after="20" w:line="245" w:lineRule="auto"/>
            </w:pPr>
            <w:r>
              <w:rPr>
                <w:b w:val="0"/>
                <w:sz w:val="20"/>
              </w:rPr>
              <w:t>name, jurisdiction_id optional, kind, official_url optional, policy_version</w:t>
            </w:r>
          </w:p>
        </w:tc>
        <w:tc>
          <w:tcPr>
            <w:tcW w:type="dxa" w:w="3946"/>
            <w:vAlign w:val="center"/>
            <w:shd w:fill="F0F4F6"/>
            <w:tcMar>
              <w:top w:w="85" w:type="dxa"/>
              <w:left w:w="85" w:type="dxa"/>
              <w:bottom w:w="85" w:type="dxa"/>
              <w:right w:w="85" w:type="dxa"/>
            </w:tcMar>
          </w:tcPr>
          <w:p>
            <w:pPr>
              <w:spacing w:after="20" w:line="245" w:lineRule="auto"/>
            </w:pPr>
            <w:r>
              <w:rPr>
                <w:b w:val="0"/>
                <w:sz w:val="20"/>
              </w:rPr>
              <w:t>Distinguish statutory regulator, enrolment body and association</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verification_cases</w:t>
            </w:r>
          </w:p>
        </w:tc>
        <w:tc>
          <w:tcPr>
            <w:tcW w:type="dxa" w:w="3888"/>
            <w:vAlign w:val="center"/>
            <w:shd w:fill="FFFFFF"/>
            <w:tcMar>
              <w:top w:w="85" w:type="dxa"/>
              <w:left w:w="85" w:type="dxa"/>
              <w:bottom w:w="85" w:type="dxa"/>
              <w:right w:w="85" w:type="dxa"/>
            </w:tcMar>
          </w:tcPr>
          <w:p>
            <w:pPr>
              <w:spacing w:after="20" w:line="245" w:lineRule="auto"/>
            </w:pPr>
            <w:r>
              <w:rPr>
                <w:b w:val="0"/>
                <w:sz w:val="20"/>
              </w:rPr>
              <w:t>subject_type, subject_id, assignee_id optional, state, method, decision_reason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Append decisions in case events; includes evidence, checked_at and next_review_at</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states and cities</w:t>
            </w:r>
          </w:p>
        </w:tc>
        <w:tc>
          <w:tcPr>
            <w:tcW w:type="dxa" w:w="3888"/>
            <w:vAlign w:val="center"/>
            <w:shd w:fill="F0F4F6"/>
            <w:tcMar>
              <w:top w:w="85" w:type="dxa"/>
              <w:left w:w="85" w:type="dxa"/>
              <w:bottom w:w="85" w:type="dxa"/>
              <w:right w:w="85" w:type="dxa"/>
            </w:tcMar>
          </w:tcPr>
          <w:p>
            <w:pPr>
              <w:spacing w:after="20" w:line="245" w:lineRule="auto"/>
            </w:pPr>
            <w:r>
              <w:rPr>
                <w:b w:val="0"/>
                <w:sz w:val="20"/>
              </w:rPr>
              <w:t>state code and name; city state_id, name, slug, district_id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City slug unique within state; inactive records retained</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localities and aliases</w:t>
            </w:r>
          </w:p>
        </w:tc>
        <w:tc>
          <w:tcPr>
            <w:tcW w:type="dxa" w:w="3888"/>
            <w:vAlign w:val="center"/>
            <w:shd w:fill="FFFFFF"/>
            <w:tcMar>
              <w:top w:w="85" w:type="dxa"/>
              <w:left w:w="85" w:type="dxa"/>
              <w:bottom w:w="85" w:type="dxa"/>
              <w:right w:w="85" w:type="dxa"/>
            </w:tcMar>
          </w:tcPr>
          <w:p>
            <w:pPr>
              <w:spacing w:after="20" w:line="245" w:lineRule="auto"/>
            </w:pPr>
            <w:r>
              <w:rPr>
                <w:b w:val="0"/>
                <w:sz w:val="20"/>
              </w:rPr>
              <w:t>locality city_id, name, slug; alias target_id, kind, text</w:t>
            </w:r>
          </w:p>
        </w:tc>
        <w:tc>
          <w:tcPr>
            <w:tcW w:type="dxa" w:w="3946"/>
            <w:vAlign w:val="center"/>
            <w:shd w:fill="FFFFFF"/>
            <w:tcMar>
              <w:top w:w="85" w:type="dxa"/>
              <w:left w:w="85" w:type="dxa"/>
              <w:bottom w:w="85" w:type="dxa"/>
              <w:right w:w="85" w:type="dxa"/>
            </w:tcMar>
          </w:tcPr>
          <w:p>
            <w:pPr>
              <w:spacing w:after="20" w:line="245" w:lineRule="auto"/>
            </w:pPr>
            <w:r>
              <w:rPr>
                <w:b w:val="0"/>
                <w:sz w:val="20"/>
              </w:rPr>
              <w:t>Locality slug unique within city; aliases may require disambiguation</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specialties and languages</w:t>
            </w:r>
          </w:p>
        </w:tc>
        <w:tc>
          <w:tcPr>
            <w:tcW w:type="dxa" w:w="3888"/>
            <w:vAlign w:val="center"/>
            <w:shd w:fill="F0F4F6"/>
            <w:tcMar>
              <w:top w:w="85" w:type="dxa"/>
              <w:left w:w="85" w:type="dxa"/>
              <w:bottom w:w="85" w:type="dxa"/>
              <w:right w:w="85" w:type="dxa"/>
            </w:tcMar>
          </w:tcPr>
          <w:p>
            <w:pPr>
              <w:spacing w:after="20" w:line="245" w:lineRule="auto"/>
            </w:pPr>
            <w:r>
              <w:rPr>
                <w:b w:val="0"/>
                <w:sz w:val="20"/>
              </w:rPr>
              <w:t>stable code, label, active flag</w:t>
            </w:r>
          </w:p>
        </w:tc>
        <w:tc>
          <w:tcPr>
            <w:tcW w:type="dxa" w:w="3946"/>
            <w:vAlign w:val="center"/>
            <w:shd w:fill="F0F4F6"/>
            <w:tcMar>
              <w:top w:w="85" w:type="dxa"/>
              <w:left w:w="85" w:type="dxa"/>
              <w:bottom w:w="85" w:type="dxa"/>
              <w:right w:w="85" w:type="dxa"/>
            </w:tcMar>
          </w:tcPr>
          <w:p>
            <w:pPr>
              <w:spacing w:after="20" w:line="245" w:lineRule="auto"/>
            </w:pPr>
            <w:r>
              <w:rPr>
                <w:b w:val="0"/>
                <w:sz w:val="20"/>
              </w:rPr>
              <w:t>Join tables practitioner_specialties and practitioner_languages use unique pairs</w:t>
            </w:r>
          </w:p>
        </w:tc>
      </w:tr>
    </w:tbl>
    <w:p>
      <w:pPr>
        <w:spacing w:after="0" w:line="60" w:lineRule="exact"/>
      </w:pPr>
      <w:r>
        <w:rPr>
          <w:sz w:val="6"/>
        </w:rPr>
      </w:r>
    </w:p>
    <w:p>
      <w:pPr>
        <w:pStyle w:val="Heading2"/>
      </w:pPr>
      <w:r>
        <w:t>Cardinality and privacy</w:t>
      </w:r>
    </w:p>
    <w:p>
      <w:r>
        <w:rPr>
          <w:b w:val="0"/>
        </w:rPr>
        <w:t>One user may own a practitioner profile and also have a patient account. Ownership grants professional management rights, not access to unrelated patient records. One practitioner has many versions, credentials, experiences, specialties and branch associations. Public profile projections expose only approved values; draft content and evidence never come from an unrestricted row serialisation.</w:t>
      </w:r>
    </w:p>
    <w:p>
      <w:pPr>
        <w:pStyle w:val="Heading1"/>
      </w:pPr>
      <w:r>
        <w:t>21 Scheduling and booking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88"/>
        <w:gridCol w:w="3946"/>
      </w:tblGrid>
      <w:tr>
        <w:trPr>
          <w:cantSplit/>
          <w:tblHeader/>
        </w:trPr>
        <w:tc>
          <w:tcPr>
            <w:tcW w:type="dxa" w:w="2333"/>
            <w:vAlign w:val="center"/>
            <w:shd w:fill="183B4E"/>
            <w:tcMar>
              <w:top w:w="85" w:type="dxa"/>
              <w:left w:w="85" w:type="dxa"/>
              <w:bottom w:w="85" w:type="dxa"/>
              <w:right w:w="85" w:type="dxa"/>
            </w:tcMar>
          </w:tcPr>
          <w:p>
            <w:pPr>
              <w:spacing w:after="20" w:line="245" w:lineRule="auto"/>
            </w:pPr>
            <w:r>
              <w:rPr>
                <w:b/>
                <w:color w:val="FFFFFF"/>
                <w:sz w:val="20"/>
              </w:rPr>
              <w:t>Entity</w:t>
            </w:r>
          </w:p>
        </w:tc>
        <w:tc>
          <w:tcPr>
            <w:tcW w:type="dxa" w:w="3888"/>
            <w:vAlign w:val="center"/>
            <w:shd w:fill="183B4E"/>
            <w:tcMar>
              <w:top w:w="85" w:type="dxa"/>
              <w:left w:w="85" w:type="dxa"/>
              <w:bottom w:w="85" w:type="dxa"/>
              <w:right w:w="85" w:type="dxa"/>
            </w:tcMar>
          </w:tcPr>
          <w:p>
            <w:pPr>
              <w:spacing w:after="20" w:line="245" w:lineRule="auto"/>
            </w:pPr>
            <w:r>
              <w:rPr>
                <w:b/>
                <w:color w:val="FFFFFF"/>
                <w:sz w:val="20"/>
              </w:rPr>
              <w:t>Principal fields</w:t>
            </w:r>
          </w:p>
        </w:tc>
        <w:tc>
          <w:tcPr>
            <w:tcW w:type="dxa" w:w="3946"/>
            <w:vAlign w:val="center"/>
            <w:shd w:fill="183B4E"/>
            <w:tcMar>
              <w:top w:w="85" w:type="dxa"/>
              <w:left w:w="85" w:type="dxa"/>
              <w:bottom w:w="85" w:type="dxa"/>
              <w:right w:w="85" w:type="dxa"/>
            </w:tcMar>
          </w:tcPr>
          <w:p>
            <w:pPr>
              <w:spacing w:after="20" w:line="245" w:lineRule="auto"/>
            </w:pPr>
            <w:r>
              <w:rPr>
                <w:b/>
                <w:color w:val="FFFFFF"/>
                <w:sz w:val="20"/>
              </w:rPr>
              <w:t>Relationships and constraints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clinics and branches</w:t>
            </w:r>
          </w:p>
        </w:tc>
        <w:tc>
          <w:tcPr>
            <w:tcW w:type="dxa" w:w="3888"/>
            <w:vAlign w:val="center"/>
            <w:shd w:fill="FFFFFF"/>
            <w:tcMar>
              <w:top w:w="85" w:type="dxa"/>
              <w:left w:w="85" w:type="dxa"/>
              <w:bottom w:w="85" w:type="dxa"/>
              <w:right w:w="85" w:type="dxa"/>
            </w:tcMar>
          </w:tcPr>
          <w:p>
            <w:pPr>
              <w:spacing w:after="20" w:line="245" w:lineRule="auto"/>
            </w:pPr>
            <w:r>
              <w:rPr>
                <w:b w:val="0"/>
                <w:sz w:val="20"/>
              </w:rPr>
              <w:t>Clinic name, owner organisation optional; branch clinic_id, locality_id, address, PIN, coordinates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Branch identity persists through name edits; coordinate range checks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practitioner_branches</w:t>
            </w:r>
          </w:p>
        </w:tc>
        <w:tc>
          <w:tcPr>
            <w:tcW w:type="dxa" w:w="3888"/>
            <w:vAlign w:val="center"/>
            <w:shd w:fill="F0F4F6"/>
            <w:tcMar>
              <w:top w:w="85" w:type="dxa"/>
              <w:left w:w="85" w:type="dxa"/>
              <w:bottom w:w="85" w:type="dxa"/>
              <w:right w:w="85" w:type="dxa"/>
            </w:tcMar>
          </w:tcPr>
          <w:p>
            <w:pPr>
              <w:spacing w:after="20" w:line="245" w:lineRule="auto"/>
            </w:pPr>
            <w:r>
              <w:rPr>
                <w:b w:val="0"/>
                <w:sz w:val="20"/>
              </w:rPr>
              <w:t>practitioner_id, branch_id, active_from, active_to optional, state</w:t>
            </w:r>
          </w:p>
        </w:tc>
        <w:tc>
          <w:tcPr>
            <w:tcW w:type="dxa" w:w="3946"/>
            <w:vAlign w:val="center"/>
            <w:shd w:fill="F0F4F6"/>
            <w:tcMar>
              <w:top w:w="85" w:type="dxa"/>
              <w:left w:w="85" w:type="dxa"/>
              <w:bottom w:w="85" w:type="dxa"/>
              <w:right w:w="85" w:type="dxa"/>
            </w:tcMar>
          </w:tcPr>
          <w:p>
            <w:pPr>
              <w:spacing w:after="20" w:line="245" w:lineRule="auto"/>
            </w:pPr>
            <w:r>
              <w:rPr>
                <w:b w:val="0"/>
                <w:sz w:val="20"/>
              </w:rPr>
              <w:t>Unique active association; prevents scheduling at an unauthorised branch</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services and offerings</w:t>
            </w:r>
          </w:p>
        </w:tc>
        <w:tc>
          <w:tcPr>
            <w:tcW w:type="dxa" w:w="3888"/>
            <w:vAlign w:val="center"/>
            <w:shd w:fill="FFFFFF"/>
            <w:tcMar>
              <w:top w:w="85" w:type="dxa"/>
              <w:left w:w="85" w:type="dxa"/>
              <w:bottom w:w="85" w:type="dxa"/>
              <w:right w:w="85" w:type="dxa"/>
            </w:tcMar>
          </w:tcPr>
          <w:p>
            <w:pPr>
              <w:spacing w:after="20" w:line="245" w:lineRule="auto"/>
            </w:pPr>
            <w:r>
              <w:rPr>
                <w:b w:val="0"/>
                <w:sz w:val="20"/>
              </w:rPr>
              <w:t>Service label; offering practitioner_branch_id, service_id, duration_min, interval_min, buffer_before_min, buffer_after_min, base_price_paise, policy_id, active</w:t>
            </w:r>
          </w:p>
        </w:tc>
        <w:tc>
          <w:tcPr>
            <w:tcW w:type="dxa" w:w="3946"/>
            <w:vAlign w:val="center"/>
            <w:shd w:fill="FFFFFF"/>
            <w:tcMar>
              <w:top w:w="85" w:type="dxa"/>
              <w:left w:w="85" w:type="dxa"/>
              <w:bottom w:w="85" w:type="dxa"/>
              <w:right w:w="85" w:type="dxa"/>
            </w:tcMar>
          </w:tcPr>
          <w:p>
            <w:pPr>
              <w:spacing w:after="20" w:line="245" w:lineRule="auto"/>
            </w:pPr>
            <w:r>
              <w:rPr>
                <w:b w:val="0"/>
                <w:sz w:val="20"/>
              </w:rPr>
              <w:t>All durations positive except buffers which may be zero; Immutable offering_versions retain fees, duration and buffers; bookings reference the accepted version</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calendar_resources</w:t>
            </w:r>
          </w:p>
        </w:tc>
        <w:tc>
          <w:tcPr>
            <w:tcW w:type="dxa" w:w="3888"/>
            <w:vAlign w:val="center"/>
            <w:shd w:fill="F0F4F6"/>
            <w:tcMar>
              <w:top w:w="85" w:type="dxa"/>
              <w:left w:w="85" w:type="dxa"/>
              <w:bottom w:w="85" w:type="dxa"/>
              <w:right w:w="85" w:type="dxa"/>
            </w:tcMar>
          </w:tcPr>
          <w:p>
            <w:pPr>
              <w:spacing w:after="20" w:line="245" w:lineRule="auto"/>
            </w:pPr>
            <w:r>
              <w:rPr>
                <w:b w:val="0"/>
                <w:sz w:val="20"/>
              </w:rPr>
              <w:t>practitioner_id unique, schedule_version bigint</w:t>
            </w:r>
          </w:p>
        </w:tc>
        <w:tc>
          <w:tcPr>
            <w:tcW w:type="dxa" w:w="3946"/>
            <w:vAlign w:val="center"/>
            <w:shd w:fill="F0F4F6"/>
            <w:tcMar>
              <w:top w:w="85" w:type="dxa"/>
              <w:left w:w="85" w:type="dxa"/>
              <w:bottom w:w="85" w:type="dxa"/>
              <w:right w:w="85" w:type="dxa"/>
            </w:tcMar>
          </w:tcPr>
          <w:p>
            <w:pPr>
              <w:spacing w:after="20" w:line="245" w:lineRule="auto"/>
            </w:pPr>
            <w:r>
              <w:rPr>
                <w:b w:val="0"/>
                <w:sz w:val="20"/>
              </w:rPr>
              <w:t>Row locked for all capacity mutations; version increments on schedule edits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patient_calendars</w:t>
            </w:r>
          </w:p>
        </w:tc>
        <w:tc>
          <w:tcPr>
            <w:tcW w:type="dxa" w:w="3888"/>
            <w:vAlign w:val="center"/>
            <w:shd w:fill="FFFFFF"/>
            <w:tcMar>
              <w:top w:w="85" w:type="dxa"/>
              <w:left w:w="85" w:type="dxa"/>
              <w:bottom w:w="85" w:type="dxa"/>
              <w:right w:w="85" w:type="dxa"/>
            </w:tcMar>
          </w:tcPr>
          <w:p>
            <w:pPr>
              <w:spacing w:after="20" w:line="245" w:lineRule="auto"/>
            </w:pPr>
            <w:r>
              <w:rPr>
                <w:b w:val="0"/>
                <w:sz w:val="20"/>
              </w:rPr>
              <w:t>patient_id unique, version bigint</w:t>
            </w:r>
          </w:p>
        </w:tc>
        <w:tc>
          <w:tcPr>
            <w:tcW w:type="dxa" w:w="3946"/>
            <w:vAlign w:val="center"/>
            <w:shd w:fill="FFFFFF"/>
            <w:tcMar>
              <w:top w:w="85" w:type="dxa"/>
              <w:left w:w="85" w:type="dxa"/>
              <w:bottom w:w="85" w:type="dxa"/>
              <w:right w:w="85" w:type="dxa"/>
            </w:tcMar>
          </w:tcPr>
          <w:p>
            <w:pPr>
              <w:spacing w:after="20" w:line="245" w:lineRule="auto"/>
            </w:pPr>
            <w:r>
              <w:rPr>
                <w:b w:val="0"/>
                <w:sz w:val="20"/>
              </w:rPr>
              <w:t>Locks prevent one patient being booked with two practitioners at overlapping times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availability_rules</w:t>
            </w:r>
          </w:p>
        </w:tc>
        <w:tc>
          <w:tcPr>
            <w:tcW w:type="dxa" w:w="3888"/>
            <w:vAlign w:val="center"/>
            <w:shd w:fill="F0F4F6"/>
            <w:tcMar>
              <w:top w:w="85" w:type="dxa"/>
              <w:left w:w="85" w:type="dxa"/>
              <w:bottom w:w="85" w:type="dxa"/>
              <w:right w:w="85" w:type="dxa"/>
            </w:tcMar>
          </w:tcPr>
          <w:p>
            <w:pPr>
              <w:spacing w:after="20" w:line="245" w:lineRule="auto"/>
            </w:pPr>
            <w:r>
              <w:rPr>
                <w:b w:val="0"/>
                <w:sz w:val="20"/>
              </w:rPr>
              <w:t>resource_id, offering_id, weekday, local_start, local_end, timezone, effective dates</w:t>
            </w:r>
          </w:p>
        </w:tc>
        <w:tc>
          <w:tcPr>
            <w:tcW w:type="dxa" w:w="3946"/>
            <w:vAlign w:val="center"/>
            <w:shd w:fill="F0F4F6"/>
            <w:tcMar>
              <w:top w:w="85" w:type="dxa"/>
              <w:left w:w="85" w:type="dxa"/>
              <w:bottom w:w="85" w:type="dxa"/>
              <w:right w:w="85" w:type="dxa"/>
            </w:tcMar>
          </w:tcPr>
          <w:p>
            <w:pPr>
              <w:spacing w:after="20" w:line="245" w:lineRule="auto"/>
            </w:pPr>
            <w:r>
              <w:rPr>
                <w:b w:val="0"/>
                <w:sz w:val="20"/>
              </w:rPr>
              <w:t>Local time recurrence; end after start; break overnight windows into dated segments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schedule_exceptions</w:t>
            </w:r>
          </w:p>
        </w:tc>
        <w:tc>
          <w:tcPr>
            <w:tcW w:type="dxa" w:w="3888"/>
            <w:vAlign w:val="center"/>
            <w:shd w:fill="FFFFFF"/>
            <w:tcMar>
              <w:top w:w="85" w:type="dxa"/>
              <w:left w:w="85" w:type="dxa"/>
              <w:bottom w:w="85" w:type="dxa"/>
              <w:right w:w="85" w:type="dxa"/>
            </w:tcMar>
          </w:tcPr>
          <w:p>
            <w:pPr>
              <w:spacing w:after="20" w:line="245" w:lineRule="auto"/>
            </w:pPr>
            <w:r>
              <w:rPr>
                <w:b w:val="0"/>
                <w:sz w:val="20"/>
              </w:rPr>
              <w:t>resource_id, branch_id optional, date or time range, kind, replacement_windows jsonb</w:t>
            </w:r>
          </w:p>
        </w:tc>
        <w:tc>
          <w:tcPr>
            <w:tcW w:type="dxa" w:w="3946"/>
            <w:vAlign w:val="center"/>
            <w:shd w:fill="FFFFFF"/>
            <w:tcMar>
              <w:top w:w="85" w:type="dxa"/>
              <w:left w:w="85" w:type="dxa"/>
              <w:bottom w:w="85" w:type="dxa"/>
              <w:right w:w="85" w:type="dxa"/>
            </w:tcMar>
          </w:tcPr>
          <w:p>
            <w:pPr>
              <w:spacing w:after="20" w:line="245" w:lineRule="auto"/>
            </w:pPr>
            <w:r>
              <w:rPr>
                <w:b w:val="0"/>
                <w:sz w:val="20"/>
              </w:rPr>
              <w:t>Leave, manual block or date override; internal reason private</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reservations</w:t>
            </w:r>
          </w:p>
        </w:tc>
        <w:tc>
          <w:tcPr>
            <w:tcW w:type="dxa" w:w="3888"/>
            <w:vAlign w:val="center"/>
            <w:shd w:fill="F0F4F6"/>
            <w:tcMar>
              <w:top w:w="85" w:type="dxa"/>
              <w:left w:w="85" w:type="dxa"/>
              <w:bottom w:w="85" w:type="dxa"/>
              <w:right w:w="85" w:type="dxa"/>
            </w:tcMar>
          </w:tcPr>
          <w:p>
            <w:pPr>
              <w:spacing w:after="20" w:line="245" w:lineRule="auto"/>
            </w:pPr>
            <w:r>
              <w:rPr>
                <w:b w:val="0"/>
                <w:sz w:val="20"/>
              </w:rPr>
              <w:t>resource_id, patient_id, offering_id, starts_at, ends_at, occupied_range tstzrange, state, expires_at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Held or committed intervals block capacity; holds require expiry; see Section 23</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bookings</w:t>
            </w:r>
          </w:p>
        </w:tc>
        <w:tc>
          <w:tcPr>
            <w:tcW w:type="dxa" w:w="3888"/>
            <w:vAlign w:val="center"/>
            <w:shd w:fill="FFFFFF"/>
            <w:tcMar>
              <w:top w:w="85" w:type="dxa"/>
              <w:left w:w="85" w:type="dxa"/>
              <w:bottom w:w="85" w:type="dxa"/>
              <w:right w:w="85" w:type="dxa"/>
            </w:tcMar>
          </w:tcPr>
          <w:p>
            <w:pPr>
              <w:spacing w:after="20" w:line="245" w:lineRule="auto"/>
            </w:pPr>
            <w:r>
              <w:rPr>
                <w:b w:val="0"/>
                <w:sz w:val="20"/>
              </w:rPr>
              <w:t>reference text, reservation_id, patient_id, booked_by_user_id, offering_id, status, source, version int, confirmed_at, price_snapshot_id</w:t>
            </w:r>
          </w:p>
        </w:tc>
        <w:tc>
          <w:tcPr>
            <w:tcW w:type="dxa" w:w="3946"/>
            <w:vAlign w:val="center"/>
            <w:shd w:fill="FFFFFF"/>
            <w:tcMar>
              <w:top w:w="85" w:type="dxa"/>
              <w:left w:w="85" w:type="dxa"/>
              <w:bottom w:w="85" w:type="dxa"/>
              <w:right w:w="85" w:type="dxa"/>
            </w:tcMar>
          </w:tcPr>
          <w:p>
            <w:pPr>
              <w:spacing w:after="20" w:line="245" w:lineRule="auto"/>
            </w:pPr>
            <w:r>
              <w:rPr>
                <w:b w:val="0"/>
                <w:sz w:val="20"/>
              </w:rPr>
              <w:t>Unique reference and reservation; never hard delete a confirmed record during normal operation</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booking_revisions</w:t>
            </w:r>
          </w:p>
        </w:tc>
        <w:tc>
          <w:tcPr>
            <w:tcW w:type="dxa" w:w="3888"/>
            <w:vAlign w:val="center"/>
            <w:shd w:fill="F0F4F6"/>
            <w:tcMar>
              <w:top w:w="85" w:type="dxa"/>
              <w:left w:w="85" w:type="dxa"/>
              <w:bottom w:w="85" w:type="dxa"/>
              <w:right w:w="85" w:type="dxa"/>
            </w:tcMar>
          </w:tcPr>
          <w:p>
            <w:pPr>
              <w:spacing w:after="20" w:line="245" w:lineRule="auto"/>
            </w:pPr>
            <w:r>
              <w:rPr>
                <w:b w:val="0"/>
                <w:sz w:val="20"/>
              </w:rPr>
              <w:t>booking_id, revision_no, actor_id, previous_snapshot, new_snapshot, reason</w:t>
            </w:r>
          </w:p>
        </w:tc>
        <w:tc>
          <w:tcPr>
            <w:tcW w:type="dxa" w:w="3946"/>
            <w:vAlign w:val="center"/>
            <w:shd w:fill="F0F4F6"/>
            <w:tcMar>
              <w:top w:w="85" w:type="dxa"/>
              <w:left w:w="85" w:type="dxa"/>
              <w:bottom w:w="85" w:type="dxa"/>
              <w:right w:w="85" w:type="dxa"/>
            </w:tcMar>
          </w:tcPr>
          <w:p>
            <w:pPr>
              <w:spacing w:after="20" w:line="245" w:lineRule="auto"/>
            </w:pPr>
            <w:r>
              <w:rPr>
                <w:b w:val="0"/>
                <w:sz w:val="20"/>
              </w:rPr>
              <w:t>Append only history of schedule, service and price changes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booking_events</w:t>
            </w:r>
          </w:p>
        </w:tc>
        <w:tc>
          <w:tcPr>
            <w:tcW w:type="dxa" w:w="3888"/>
            <w:vAlign w:val="center"/>
            <w:shd w:fill="FFFFFF"/>
            <w:tcMar>
              <w:top w:w="85" w:type="dxa"/>
              <w:left w:w="85" w:type="dxa"/>
              <w:bottom w:w="85" w:type="dxa"/>
              <w:right w:w="85" w:type="dxa"/>
            </w:tcMar>
          </w:tcPr>
          <w:p>
            <w:pPr>
              <w:spacing w:after="20" w:line="245" w:lineRule="auto"/>
            </w:pPr>
            <w:r>
              <w:rPr>
                <w:b w:val="0"/>
                <w:sz w:val="20"/>
              </w:rPr>
              <w:t>booking_id, event_type, actor_id optional, from_state, to_state, reason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Append only event history; timestamps and correlation ID</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booking_price_snapshots</w:t>
            </w:r>
          </w:p>
        </w:tc>
        <w:tc>
          <w:tcPr>
            <w:tcW w:type="dxa" w:w="3888"/>
            <w:vAlign w:val="center"/>
            <w:shd w:fill="F0F4F6"/>
            <w:tcMar>
              <w:top w:w="85" w:type="dxa"/>
              <w:left w:w="85" w:type="dxa"/>
              <w:bottom w:w="85" w:type="dxa"/>
              <w:right w:w="85" w:type="dxa"/>
            </w:tcMar>
          </w:tcPr>
          <w:p>
            <w:pPr>
              <w:spacing w:after="20" w:line="245" w:lineRule="auto"/>
            </w:pPr>
            <w:r>
              <w:rPr>
                <w:b w:val="0"/>
                <w:sz w:val="20"/>
              </w:rPr>
              <w:t>booking_id, revision_no, currency, base_paise, discount_paise, tax_paise, extra_paise, total_paise, offer_version optional, policy_version</w:t>
            </w:r>
          </w:p>
        </w:tc>
        <w:tc>
          <w:tcPr>
            <w:tcW w:type="dxa" w:w="3946"/>
            <w:vAlign w:val="center"/>
            <w:shd w:fill="F0F4F6"/>
            <w:tcMar>
              <w:top w:w="85" w:type="dxa"/>
              <w:left w:w="85" w:type="dxa"/>
              <w:bottom w:w="85" w:type="dxa"/>
              <w:right w:w="85" w:type="dxa"/>
            </w:tcMar>
          </w:tcPr>
          <w:p>
            <w:pPr>
              <w:spacing w:after="20" w:line="245" w:lineRule="auto"/>
            </w:pPr>
            <w:r>
              <w:rPr>
                <w:b w:val="0"/>
                <w:sz w:val="20"/>
              </w:rPr>
              <w:t>Immutable for a revision; amounts reconcile; all displayed accepted terms retained</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idempotency_records</w:t>
            </w:r>
          </w:p>
        </w:tc>
        <w:tc>
          <w:tcPr>
            <w:tcW w:type="dxa" w:w="3888"/>
            <w:vAlign w:val="center"/>
            <w:shd w:fill="FFFFFF"/>
            <w:tcMar>
              <w:top w:w="85" w:type="dxa"/>
              <w:left w:w="85" w:type="dxa"/>
              <w:bottom w:w="85" w:type="dxa"/>
              <w:right w:w="85" w:type="dxa"/>
            </w:tcMar>
          </w:tcPr>
          <w:p>
            <w:pPr>
              <w:spacing w:after="20" w:line="245" w:lineRule="auto"/>
            </w:pPr>
            <w:r>
              <w:rPr>
                <w:b w:val="0"/>
                <w:sz w:val="20"/>
              </w:rPr>
              <w:t>actor_id, route, key_hash, request_hash, state, response_ref, expires_at</w:t>
            </w:r>
          </w:p>
        </w:tc>
        <w:tc>
          <w:tcPr>
            <w:tcW w:type="dxa" w:w="3946"/>
            <w:vAlign w:val="center"/>
            <w:shd w:fill="FFFFFF"/>
            <w:tcMar>
              <w:top w:w="85" w:type="dxa"/>
              <w:left w:w="85" w:type="dxa"/>
              <w:bottom w:w="85" w:type="dxa"/>
              <w:right w:w="85" w:type="dxa"/>
            </w:tcMar>
          </w:tcPr>
          <w:p>
            <w:pPr>
              <w:spacing w:after="20" w:line="245" w:lineRule="auto"/>
            </w:pPr>
            <w:r>
              <w:rPr>
                <w:b w:val="0"/>
                <w:sz w:val="20"/>
              </w:rPr>
              <w:t>Unique actor, route and key; private response cache or durable result reference</w:t>
            </w:r>
          </w:p>
        </w:tc>
      </w:tr>
    </w:tbl>
    <w:p>
      <w:pPr>
        <w:spacing w:after="0" w:line="60" w:lineRule="exact"/>
      </w:pPr>
      <w:r>
        <w:rPr>
          <w:sz w:val="6"/>
        </w:rPr>
      </w:r>
    </w:p>
    <w:p>
      <w:pPr>
        <w:pStyle w:val="Heading2"/>
      </w:pPr>
      <w:r>
        <w:t>Required booking invariants</w:t>
      </w:r>
    </w:p>
    <w:p>
      <w:r>
        <w:rPr>
          <w:b w:val="0"/>
        </w:rPr>
      </w:r>
      <w:r>
        <w:rPr>
          <w:b/>
        </w:rPr>
        <w:t>DAT-15</w:t>
      </w:r>
      <w:r>
        <w:rPr>
          <w:b w:val="0"/>
        </w:rPr>
        <w:t xml:space="preserve"> starts_at and ends_at use UTC timestamptz, and ends_at must be greater than starts_at. occupied_range includes the applicable buffers and uses inclusive start, exclusive end. Server code shall derive it from the accepted offering version; the client cannot supply an arbitrary shorter interval.</w:t>
      </w:r>
    </w:p>
    <w:p>
      <w:r>
        <w:rPr>
          <w:b w:val="0"/>
        </w:rPr>
      </w:r>
      <w:r>
        <w:rPr>
          <w:b/>
        </w:rPr>
        <w:t>DAT-16</w:t>
      </w:r>
      <w:r>
        <w:rPr>
          <w:b w:val="0"/>
        </w:rPr>
        <w:t xml:space="preserve"> A booking points to one active reservation; rescheduling changes that link atomically and preserves the previous interval in revisions. A committed reservation must correspond to a confirmed or historically attended booking. Terminal cancellation releases the blocking state. Booking creation and capacity commitment shall never be split into unrelated transactions.</w:t>
      </w:r>
    </w:p>
    <w:p>
      <w:pPr>
        <w:pStyle w:val="Heading1"/>
      </w:pPr>
      <w:r>
        <w:t>22 Operations and financial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888"/>
        <w:gridCol w:w="3946"/>
      </w:tblGrid>
      <w:tr>
        <w:trPr>
          <w:cantSplit/>
          <w:tblHeader/>
        </w:trPr>
        <w:tc>
          <w:tcPr>
            <w:tcW w:type="dxa" w:w="2333"/>
            <w:vAlign w:val="center"/>
            <w:shd w:fill="183B4E"/>
            <w:tcMar>
              <w:top w:w="85" w:type="dxa"/>
              <w:left w:w="85" w:type="dxa"/>
              <w:bottom w:w="85" w:type="dxa"/>
              <w:right w:w="85" w:type="dxa"/>
            </w:tcMar>
          </w:tcPr>
          <w:p>
            <w:pPr>
              <w:spacing w:after="20" w:line="245" w:lineRule="auto"/>
            </w:pPr>
            <w:r>
              <w:rPr>
                <w:b/>
                <w:color w:val="FFFFFF"/>
                <w:sz w:val="20"/>
              </w:rPr>
              <w:t>Entity</w:t>
            </w:r>
          </w:p>
        </w:tc>
        <w:tc>
          <w:tcPr>
            <w:tcW w:type="dxa" w:w="3888"/>
            <w:vAlign w:val="center"/>
            <w:shd w:fill="183B4E"/>
            <w:tcMar>
              <w:top w:w="85" w:type="dxa"/>
              <w:left w:w="85" w:type="dxa"/>
              <w:bottom w:w="85" w:type="dxa"/>
              <w:right w:w="85" w:type="dxa"/>
            </w:tcMar>
          </w:tcPr>
          <w:p>
            <w:pPr>
              <w:spacing w:after="20" w:line="245" w:lineRule="auto"/>
            </w:pPr>
            <w:r>
              <w:rPr>
                <w:b/>
                <w:color w:val="FFFFFF"/>
                <w:sz w:val="20"/>
              </w:rPr>
              <w:t>Principal fields</w:t>
            </w:r>
          </w:p>
        </w:tc>
        <w:tc>
          <w:tcPr>
            <w:tcW w:type="dxa" w:w="3946"/>
            <w:vAlign w:val="center"/>
            <w:shd w:fill="183B4E"/>
            <w:tcMar>
              <w:top w:w="85" w:type="dxa"/>
              <w:left w:w="85" w:type="dxa"/>
              <w:bottom w:w="85" w:type="dxa"/>
              <w:right w:w="85" w:type="dxa"/>
            </w:tcMar>
          </w:tcPr>
          <w:p>
            <w:pPr>
              <w:spacing w:after="20" w:line="245" w:lineRule="auto"/>
            </w:pPr>
            <w:r>
              <w:rPr>
                <w:b/>
                <w:color w:val="FFFFFF"/>
                <w:sz w:val="20"/>
              </w:rPr>
              <w:t>Relationships and constraints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offers and offer_versions</w:t>
            </w:r>
          </w:p>
        </w:tc>
        <w:tc>
          <w:tcPr>
            <w:tcW w:type="dxa" w:w="3888"/>
            <w:vAlign w:val="center"/>
            <w:shd w:fill="FFFFFF"/>
            <w:tcMar>
              <w:top w:w="85" w:type="dxa"/>
              <w:left w:w="85" w:type="dxa"/>
              <w:bottom w:w="85" w:type="dxa"/>
              <w:right w:w="85" w:type="dxa"/>
            </w:tcMar>
          </w:tcPr>
          <w:p>
            <w:pPr>
              <w:spacing w:after="20" w:line="245" w:lineRule="auto"/>
            </w:pPr>
            <w:r>
              <w:rPr>
                <w:b w:val="0"/>
                <w:sz w:val="20"/>
              </w:rPr>
              <w:t>practitioner_id or clinic_id scope, code optional, type, value, validity range, caps, eligibility, moderation state</w:t>
            </w:r>
          </w:p>
        </w:tc>
        <w:tc>
          <w:tcPr>
            <w:tcW w:type="dxa" w:w="3946"/>
            <w:vAlign w:val="center"/>
            <w:shd w:fill="FFFFFF"/>
            <w:tcMar>
              <w:top w:w="85" w:type="dxa"/>
              <w:left w:w="85" w:type="dxa"/>
              <w:bottom w:w="85" w:type="dxa"/>
              <w:right w:w="85" w:type="dxa"/>
            </w:tcMar>
          </w:tcPr>
          <w:p>
            <w:pPr>
              <w:spacing w:after="20" w:line="245" w:lineRule="auto"/>
            </w:pPr>
            <w:r>
              <w:rPr>
                <w:b w:val="0"/>
                <w:sz w:val="20"/>
              </w:rPr>
              <w:t>One approved version active; redemption logic uses immutable accepted version</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offer_redemptions</w:t>
            </w:r>
          </w:p>
        </w:tc>
        <w:tc>
          <w:tcPr>
            <w:tcW w:type="dxa" w:w="3888"/>
            <w:vAlign w:val="center"/>
            <w:shd w:fill="F0F4F6"/>
            <w:tcMar>
              <w:top w:w="85" w:type="dxa"/>
              <w:left w:w="85" w:type="dxa"/>
              <w:bottom w:w="85" w:type="dxa"/>
              <w:right w:w="85" w:type="dxa"/>
            </w:tcMar>
          </w:tcPr>
          <w:p>
            <w:pPr>
              <w:spacing w:after="20" w:line="245" w:lineRule="auto"/>
            </w:pPr>
            <w:r>
              <w:rPr>
                <w:b w:val="0"/>
                <w:sz w:val="20"/>
              </w:rPr>
              <w:t>offer_version_id, patient_id, reservation_id, booking_id optional, state, amount_paise</w:t>
            </w:r>
          </w:p>
        </w:tc>
        <w:tc>
          <w:tcPr>
            <w:tcW w:type="dxa" w:w="3946"/>
            <w:vAlign w:val="center"/>
            <w:shd w:fill="F0F4F6"/>
            <w:tcMar>
              <w:top w:w="85" w:type="dxa"/>
              <w:left w:w="85" w:type="dxa"/>
              <w:bottom w:w="85" w:type="dxa"/>
              <w:right w:w="85" w:type="dxa"/>
            </w:tcMar>
          </w:tcPr>
          <w:p>
            <w:pPr>
              <w:spacing w:after="20" w:line="245" w:lineRule="auto"/>
            </w:pPr>
            <w:r>
              <w:rPr>
                <w:b w:val="0"/>
                <w:sz w:val="20"/>
              </w:rPr>
              <w:t>Reserved, consumed, released; atomic cap enforcement; one applied offer per booking</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reviews and replies</w:t>
            </w:r>
          </w:p>
        </w:tc>
        <w:tc>
          <w:tcPr>
            <w:tcW w:type="dxa" w:w="3888"/>
            <w:vAlign w:val="center"/>
            <w:shd w:fill="FFFFFF"/>
            <w:tcMar>
              <w:top w:w="85" w:type="dxa"/>
              <w:left w:w="85" w:type="dxa"/>
              <w:bottom w:w="85" w:type="dxa"/>
              <w:right w:w="85" w:type="dxa"/>
            </w:tcMar>
          </w:tcPr>
          <w:p>
            <w:pPr>
              <w:spacing w:after="20" w:line="245" w:lineRule="auto"/>
            </w:pPr>
            <w:r>
              <w:rPr>
                <w:b w:val="0"/>
                <w:sz w:val="20"/>
              </w:rPr>
              <w:t>booking_id, patient_id, practitioner_id, rating, text, moderation_state</w:t>
            </w:r>
          </w:p>
        </w:tc>
        <w:tc>
          <w:tcPr>
            <w:tcW w:type="dxa" w:w="3946"/>
            <w:vAlign w:val="center"/>
            <w:shd w:fill="FFFFFF"/>
            <w:tcMar>
              <w:top w:w="85" w:type="dxa"/>
              <w:left w:w="85" w:type="dxa"/>
              <w:bottom w:w="85" w:type="dxa"/>
              <w:right w:w="85" w:type="dxa"/>
            </w:tcMar>
          </w:tcPr>
          <w:p>
            <w:pPr>
              <w:spacing w:after="20" w:line="245" w:lineRule="auto"/>
            </w:pPr>
            <w:r>
              <w:rPr>
                <w:b w:val="0"/>
                <w:sz w:val="20"/>
              </w:rPr>
              <w:t>One review per completed booking; rating 1 to 5; replies versioned</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claim_requests and import_batches</w:t>
            </w:r>
          </w:p>
        </w:tc>
        <w:tc>
          <w:tcPr>
            <w:tcW w:type="dxa" w:w="3888"/>
            <w:vAlign w:val="center"/>
            <w:shd w:fill="F0F4F6"/>
            <w:tcMar>
              <w:top w:w="85" w:type="dxa"/>
              <w:left w:w="85" w:type="dxa"/>
              <w:bottom w:w="85" w:type="dxa"/>
              <w:right w:w="85" w:type="dxa"/>
            </w:tcMar>
          </w:tcPr>
          <w:p>
            <w:pPr>
              <w:spacing w:after="20" w:line="245" w:lineRule="auto"/>
            </w:pPr>
            <w:r>
              <w:rPr>
                <w:b w:val="0"/>
                <w:sz w:val="20"/>
              </w:rPr>
              <w:t>Subject, claimant or source, state, evidence and batch row outcomes</w:t>
            </w:r>
          </w:p>
        </w:tc>
        <w:tc>
          <w:tcPr>
            <w:tcW w:type="dxa" w:w="3946"/>
            <w:vAlign w:val="center"/>
            <w:shd w:fill="F0F4F6"/>
            <w:tcMar>
              <w:top w:w="85" w:type="dxa"/>
              <w:left w:w="85" w:type="dxa"/>
              <w:bottom w:w="85" w:type="dxa"/>
              <w:right w:w="85" w:type="dxa"/>
            </w:tcMar>
          </w:tcPr>
          <w:p>
            <w:pPr>
              <w:spacing w:after="20" w:line="245" w:lineRule="auto"/>
            </w:pPr>
            <w:r>
              <w:rPr>
                <w:b w:val="0"/>
                <w:sz w:val="20"/>
              </w:rPr>
              <w:t>No automatic claim or verification from an import; duplicate mappings preserved</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media_assets</w:t>
            </w:r>
          </w:p>
        </w:tc>
        <w:tc>
          <w:tcPr>
            <w:tcW w:type="dxa" w:w="3888"/>
            <w:vAlign w:val="center"/>
            <w:shd w:fill="FFFFFF"/>
            <w:tcMar>
              <w:top w:w="85" w:type="dxa"/>
              <w:left w:w="85" w:type="dxa"/>
              <w:bottom w:w="85" w:type="dxa"/>
              <w:right w:w="85" w:type="dxa"/>
            </w:tcMar>
          </w:tcPr>
          <w:p>
            <w:pPr>
              <w:spacing w:after="20" w:line="245" w:lineRule="auto"/>
            </w:pPr>
            <w:r>
              <w:rPr>
                <w:b w:val="0"/>
                <w:sz w:val="20"/>
              </w:rPr>
              <w:t>object_key, owner_id, purpose, MIME, bytes, checksum, scan_state, visibility</w:t>
            </w:r>
          </w:p>
        </w:tc>
        <w:tc>
          <w:tcPr>
            <w:tcW w:type="dxa" w:w="3946"/>
            <w:vAlign w:val="center"/>
            <w:shd w:fill="FFFFFF"/>
            <w:tcMar>
              <w:top w:w="85" w:type="dxa"/>
              <w:left w:w="85" w:type="dxa"/>
              <w:bottom w:w="85" w:type="dxa"/>
              <w:right w:w="85" w:type="dxa"/>
            </w:tcMar>
          </w:tcPr>
          <w:p>
            <w:pPr>
              <w:spacing w:after="20" w:line="245" w:lineRule="auto"/>
            </w:pPr>
            <w:r>
              <w:rPr>
                <w:b w:val="0"/>
                <w:sz w:val="20"/>
              </w:rPr>
              <w:t>Purpose controls public or private bucket policy; no binary files in database rows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support_cases</w:t>
            </w:r>
          </w:p>
        </w:tc>
        <w:tc>
          <w:tcPr>
            <w:tcW w:type="dxa" w:w="3888"/>
            <w:vAlign w:val="center"/>
            <w:shd w:fill="F0F4F6"/>
            <w:tcMar>
              <w:top w:w="85" w:type="dxa"/>
              <w:left w:w="85" w:type="dxa"/>
              <w:bottom w:w="85" w:type="dxa"/>
              <w:right w:w="85" w:type="dxa"/>
            </w:tcMar>
          </w:tcPr>
          <w:p>
            <w:pPr>
              <w:spacing w:after="20" w:line="245" w:lineRule="auto"/>
            </w:pPr>
            <w:r>
              <w:rPr>
                <w:b w:val="0"/>
                <w:sz w:val="20"/>
              </w:rPr>
              <w:t>requester_id, linked_subject, category, priority, state, assignee_id optional</w:t>
            </w:r>
          </w:p>
        </w:tc>
        <w:tc>
          <w:tcPr>
            <w:tcW w:type="dxa" w:w="3946"/>
            <w:vAlign w:val="center"/>
            <w:shd w:fill="F0F4F6"/>
            <w:tcMar>
              <w:top w:w="85" w:type="dxa"/>
              <w:left w:w="85" w:type="dxa"/>
              <w:bottom w:w="85" w:type="dxa"/>
              <w:right w:w="85" w:type="dxa"/>
            </w:tcMar>
          </w:tcPr>
          <w:p>
            <w:pPr>
              <w:spacing w:after="20" w:line="245" w:lineRule="auto"/>
            </w:pPr>
            <w:r>
              <w:rPr>
                <w:b w:val="0"/>
                <w:sz w:val="20"/>
              </w:rPr>
              <w:t>Case events append only; attachment access scoped to case</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consent_records</w:t>
            </w:r>
          </w:p>
        </w:tc>
        <w:tc>
          <w:tcPr>
            <w:tcW w:type="dxa" w:w="3888"/>
            <w:vAlign w:val="center"/>
            <w:shd w:fill="FFFFFF"/>
            <w:tcMar>
              <w:top w:w="85" w:type="dxa"/>
              <w:left w:w="85" w:type="dxa"/>
              <w:bottom w:w="85" w:type="dxa"/>
              <w:right w:w="85" w:type="dxa"/>
            </w:tcMar>
          </w:tcPr>
          <w:p>
            <w:pPr>
              <w:spacing w:after="20" w:line="245" w:lineRule="auto"/>
            </w:pPr>
            <w:r>
              <w:rPr>
                <w:b w:val="0"/>
                <w:sz w:val="20"/>
              </w:rPr>
              <w:t>subject_id, purpose, notice_version, action, captured_at, source, proof_ref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Append grants and withdrawals; do not overwrite consent history</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privacy_requests</w:t>
            </w:r>
          </w:p>
        </w:tc>
        <w:tc>
          <w:tcPr>
            <w:tcW w:type="dxa" w:w="3888"/>
            <w:vAlign w:val="center"/>
            <w:shd w:fill="F0F4F6"/>
            <w:tcMar>
              <w:top w:w="85" w:type="dxa"/>
              <w:left w:w="85" w:type="dxa"/>
              <w:bottom w:w="85" w:type="dxa"/>
              <w:right w:w="85" w:type="dxa"/>
            </w:tcMar>
          </w:tcPr>
          <w:p>
            <w:pPr>
              <w:spacing w:after="20" w:line="245" w:lineRule="auto"/>
            </w:pPr>
            <w:r>
              <w:rPr>
                <w:b w:val="0"/>
                <w:sz w:val="20"/>
              </w:rPr>
              <w:t>requester_id, request_type, verified_at optional, due_at, state, resolution</w:t>
            </w:r>
          </w:p>
        </w:tc>
        <w:tc>
          <w:tcPr>
            <w:tcW w:type="dxa" w:w="3946"/>
            <w:vAlign w:val="center"/>
            <w:shd w:fill="F0F4F6"/>
            <w:tcMar>
              <w:top w:w="85" w:type="dxa"/>
              <w:left w:w="85" w:type="dxa"/>
              <w:bottom w:w="85" w:type="dxa"/>
              <w:right w:w="85" w:type="dxa"/>
            </w:tcMar>
          </w:tcPr>
          <w:p>
            <w:pPr>
              <w:spacing w:after="20" w:line="245" w:lineRule="auto"/>
            </w:pPr>
            <w:r>
              <w:rPr>
                <w:b w:val="0"/>
                <w:sz w:val="20"/>
              </w:rPr>
              <w:t>Track correction, access, deletion and grievance workflows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audit_events</w:t>
            </w:r>
          </w:p>
        </w:tc>
        <w:tc>
          <w:tcPr>
            <w:tcW w:type="dxa" w:w="3888"/>
            <w:vAlign w:val="center"/>
            <w:shd w:fill="FFFFFF"/>
            <w:tcMar>
              <w:top w:w="85" w:type="dxa"/>
              <w:left w:w="85" w:type="dxa"/>
              <w:bottom w:w="85" w:type="dxa"/>
              <w:right w:w="85" w:type="dxa"/>
            </w:tcMar>
          </w:tcPr>
          <w:p>
            <w:pPr>
              <w:spacing w:after="20" w:line="245" w:lineRule="auto"/>
            </w:pPr>
            <w:r>
              <w:rPr>
                <w:b w:val="0"/>
                <w:sz w:val="20"/>
              </w:rPr>
              <w:t>actor_id, action, object_type, object_id, reason, changed_fields, correlation_id</w:t>
            </w:r>
          </w:p>
        </w:tc>
        <w:tc>
          <w:tcPr>
            <w:tcW w:type="dxa" w:w="3946"/>
            <w:vAlign w:val="center"/>
            <w:shd w:fill="FFFFFF"/>
            <w:tcMar>
              <w:top w:w="85" w:type="dxa"/>
              <w:left w:w="85" w:type="dxa"/>
              <w:bottom w:w="85" w:type="dxa"/>
              <w:right w:w="85" w:type="dxa"/>
            </w:tcMar>
          </w:tcPr>
          <w:p>
            <w:pPr>
              <w:spacing w:after="20" w:line="245" w:lineRule="auto"/>
            </w:pPr>
            <w:r>
              <w:rPr>
                <w:b w:val="0"/>
                <w:sz w:val="20"/>
              </w:rPr>
              <w:t>Append only for app roles; redact secret and sensitive field values</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outbox_events</w:t>
            </w:r>
          </w:p>
        </w:tc>
        <w:tc>
          <w:tcPr>
            <w:tcW w:type="dxa" w:w="3888"/>
            <w:vAlign w:val="center"/>
            <w:shd w:fill="F0F4F6"/>
            <w:tcMar>
              <w:top w:w="85" w:type="dxa"/>
              <w:left w:w="85" w:type="dxa"/>
              <w:bottom w:w="85" w:type="dxa"/>
              <w:right w:w="85" w:type="dxa"/>
            </w:tcMar>
          </w:tcPr>
          <w:p>
            <w:pPr>
              <w:spacing w:after="20" w:line="245" w:lineRule="auto"/>
            </w:pPr>
            <w:r>
              <w:rPr>
                <w:b w:val="0"/>
                <w:sz w:val="20"/>
              </w:rPr>
              <w:t>event_id, aggregate_type, aggregate_id, version, event_type, payload, available_at, state, attempts</w:t>
            </w:r>
          </w:p>
        </w:tc>
        <w:tc>
          <w:tcPr>
            <w:tcW w:type="dxa" w:w="3946"/>
            <w:vAlign w:val="center"/>
            <w:shd w:fill="F0F4F6"/>
            <w:tcMar>
              <w:top w:w="85" w:type="dxa"/>
              <w:left w:w="85" w:type="dxa"/>
              <w:bottom w:w="85" w:type="dxa"/>
              <w:right w:w="85" w:type="dxa"/>
            </w:tcMar>
          </w:tcPr>
          <w:p>
            <w:pPr>
              <w:spacing w:after="20" w:line="245" w:lineRule="auto"/>
            </w:pPr>
            <w:r>
              <w:rPr>
                <w:b w:val="0"/>
                <w:sz w:val="20"/>
              </w:rPr>
              <w:t>Unique event ID; claim with locking; replayable consumer contracts</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notification_deliveries</w:t>
            </w:r>
          </w:p>
        </w:tc>
        <w:tc>
          <w:tcPr>
            <w:tcW w:type="dxa" w:w="3888"/>
            <w:vAlign w:val="center"/>
            <w:shd w:fill="FFFFFF"/>
            <w:tcMar>
              <w:top w:w="85" w:type="dxa"/>
              <w:left w:w="85" w:type="dxa"/>
              <w:bottom w:w="85" w:type="dxa"/>
              <w:right w:w="85" w:type="dxa"/>
            </w:tcMar>
          </w:tcPr>
          <w:p>
            <w:pPr>
              <w:spacing w:after="20" w:line="245" w:lineRule="auto"/>
            </w:pPr>
            <w:r>
              <w:rPr>
                <w:b w:val="0"/>
                <w:sz w:val="20"/>
              </w:rPr>
              <w:t>event_id, recipient_id, channel, template_version, state, provider_ref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Unique deduplication key; attempts and last error without full sensitive content</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policies and configurations</w:t>
            </w:r>
          </w:p>
        </w:tc>
        <w:tc>
          <w:tcPr>
            <w:tcW w:type="dxa" w:w="3888"/>
            <w:vAlign w:val="center"/>
            <w:shd w:fill="F0F4F6"/>
            <w:tcMar>
              <w:top w:w="85" w:type="dxa"/>
              <w:left w:w="85" w:type="dxa"/>
              <w:bottom w:w="85" w:type="dxa"/>
              <w:right w:w="85" w:type="dxa"/>
            </w:tcMar>
          </w:tcPr>
          <w:p>
            <w:pPr>
              <w:spacing w:after="20" w:line="245" w:lineRule="auto"/>
            </w:pPr>
            <w:r>
              <w:rPr>
                <w:b w:val="0"/>
                <w:sz w:val="20"/>
              </w:rPr>
              <w:t>type, version, effective_at, approved_by, content, scope</w:t>
            </w:r>
          </w:p>
        </w:tc>
        <w:tc>
          <w:tcPr>
            <w:tcW w:type="dxa" w:w="3946"/>
            <w:vAlign w:val="center"/>
            <w:shd w:fill="F0F4F6"/>
            <w:tcMar>
              <w:top w:w="85" w:type="dxa"/>
              <w:left w:w="85" w:type="dxa"/>
              <w:bottom w:w="85" w:type="dxa"/>
              <w:right w:w="85" w:type="dxa"/>
            </w:tcMar>
          </w:tcPr>
          <w:p>
            <w:pPr>
              <w:spacing w:after="20" w:line="245" w:lineRule="auto"/>
            </w:pPr>
            <w:r>
              <w:rPr>
                <w:b w:val="0"/>
                <w:sz w:val="20"/>
              </w:rPr>
              <w:t>Versioned provider and platform rules; no secrets in general configuration</w:t>
            </w:r>
          </w:p>
        </w:tc>
      </w:tr>
      <w:tr>
        <w:trPr>
          <w:cantSplit/>
        </w:trPr>
        <w:tc>
          <w:tcPr>
            <w:tcW w:type="dxa" w:w="2333"/>
            <w:vAlign w:val="center"/>
            <w:shd w:fill="FFFFFF"/>
            <w:tcMar>
              <w:top w:w="85" w:type="dxa"/>
              <w:left w:w="85" w:type="dxa"/>
              <w:bottom w:w="85" w:type="dxa"/>
              <w:right w:w="85" w:type="dxa"/>
            </w:tcMar>
          </w:tcPr>
          <w:p>
            <w:pPr>
              <w:spacing w:after="20" w:line="245" w:lineRule="auto"/>
            </w:pPr>
            <w:r>
              <w:rPr>
                <w:b w:val="0"/>
                <w:sz w:val="20"/>
              </w:rPr>
              <w:t>payment_orders and attempts R2</w:t>
            </w:r>
          </w:p>
        </w:tc>
        <w:tc>
          <w:tcPr>
            <w:tcW w:type="dxa" w:w="3888"/>
            <w:vAlign w:val="center"/>
            <w:shd w:fill="FFFFFF"/>
            <w:tcMar>
              <w:top w:w="85" w:type="dxa"/>
              <w:left w:w="85" w:type="dxa"/>
              <w:bottom w:w="85" w:type="dxa"/>
              <w:right w:w="85" w:type="dxa"/>
            </w:tcMar>
          </w:tcPr>
          <w:p>
            <w:pPr>
              <w:spacing w:after="20" w:line="245" w:lineRule="auto"/>
            </w:pPr>
            <w:r>
              <w:rPr>
                <w:b w:val="0"/>
                <w:sz w:val="20"/>
              </w:rPr>
              <w:t>booking_id or hold_id, provider, order_ref, amount_paise, currency, state, provider_payment_ref optional</w:t>
            </w:r>
          </w:p>
        </w:tc>
        <w:tc>
          <w:tcPr>
            <w:tcW w:type="dxa" w:w="3946"/>
            <w:vAlign w:val="center"/>
            <w:shd w:fill="FFFFFF"/>
            <w:tcMar>
              <w:top w:w="85" w:type="dxa"/>
              <w:left w:w="85" w:type="dxa"/>
              <w:bottom w:w="85" w:type="dxa"/>
              <w:right w:w="85" w:type="dxa"/>
            </w:tcMar>
          </w:tcPr>
          <w:p>
            <w:pPr>
              <w:spacing w:after="20" w:line="245" w:lineRule="auto"/>
            </w:pPr>
            <w:r>
              <w:rPr>
                <w:b w:val="0"/>
                <w:sz w:val="20"/>
              </w:rPr>
              <w:t>Provider references unique; several attempts allowed for one order</w:t>
            </w:r>
          </w:p>
        </w:tc>
      </w:tr>
      <w:tr>
        <w:trPr>
          <w:cantSplit/>
        </w:trPr>
        <w:tc>
          <w:tcPr>
            <w:tcW w:type="dxa" w:w="2333"/>
            <w:vAlign w:val="center"/>
            <w:shd w:fill="F0F4F6"/>
            <w:tcMar>
              <w:top w:w="85" w:type="dxa"/>
              <w:left w:w="85" w:type="dxa"/>
              <w:bottom w:w="85" w:type="dxa"/>
              <w:right w:w="85" w:type="dxa"/>
            </w:tcMar>
          </w:tcPr>
          <w:p>
            <w:pPr>
              <w:spacing w:after="20" w:line="245" w:lineRule="auto"/>
            </w:pPr>
            <w:r>
              <w:rPr>
                <w:b w:val="0"/>
                <w:sz w:val="20"/>
              </w:rPr>
              <w:t>refunds and settlements R2</w:t>
            </w:r>
          </w:p>
        </w:tc>
        <w:tc>
          <w:tcPr>
            <w:tcW w:type="dxa" w:w="3888"/>
            <w:vAlign w:val="center"/>
            <w:shd w:fill="F0F4F6"/>
            <w:tcMar>
              <w:top w:w="85" w:type="dxa"/>
              <w:left w:w="85" w:type="dxa"/>
              <w:bottom w:w="85" w:type="dxa"/>
              <w:right w:w="85" w:type="dxa"/>
            </w:tcMar>
          </w:tcPr>
          <w:p>
            <w:pPr>
              <w:spacing w:after="20" w:line="245" w:lineRule="auto"/>
            </w:pPr>
            <w:r>
              <w:rPr>
                <w:b w:val="0"/>
                <w:sz w:val="20"/>
              </w:rPr>
              <w:t>payment_attempt_id, refund amount and state; settlement provider_ref, period, amounts</w:t>
            </w:r>
          </w:p>
        </w:tc>
        <w:tc>
          <w:tcPr>
            <w:tcW w:type="dxa" w:w="3946"/>
            <w:vAlign w:val="center"/>
            <w:shd w:fill="F0F4F6"/>
            <w:tcMar>
              <w:top w:w="85" w:type="dxa"/>
              <w:left w:w="85" w:type="dxa"/>
              <w:bottom w:w="85" w:type="dxa"/>
              <w:right w:w="85" w:type="dxa"/>
            </w:tcMar>
          </w:tcPr>
          <w:p>
            <w:pPr>
              <w:spacing w:after="20" w:line="245" w:lineRule="auto"/>
            </w:pPr>
            <w:r>
              <w:rPr>
                <w:b w:val="0"/>
                <w:sz w:val="20"/>
              </w:rPr>
              <w:t>Sum of completed refunds cannot exceed captured amount; reconciliation required</w:t>
            </w:r>
          </w:p>
        </w:tc>
      </w:tr>
    </w:tbl>
    <w:p>
      <w:pPr>
        <w:spacing w:after="0" w:line="60" w:lineRule="exact"/>
      </w:pPr>
      <w:r>
        <w:rPr>
          <w:sz w:val="6"/>
        </w:rPr>
      </w:r>
    </w:p>
    <w:p>
      <w:pPr>
        <w:pStyle w:val="Heading2"/>
      </w:pPr>
      <w:r>
        <w:t>Growth and event data</w:t>
      </w:r>
    </w:p>
    <w:p>
      <w:r>
        <w:rPr>
          <w:b w:val="0"/>
        </w:rPr>
      </w:r>
      <w:r>
        <w:rPr>
          <w:b/>
        </w:rPr>
        <w:t>DAT-17</w:t>
      </w:r>
      <w:r>
        <w:rPr>
          <w:b w:val="0"/>
        </w:rPr>
        <w:t xml:space="preserve"> Analytics events shall use a separate restricted schema or analytics service with pseudonymous identifiers. Aggregate facts include date, geography, practitioner, source and state without patient details. Large event tables may be partitioned by date after measured need; booking referential integrity must survive any archival policy.</w:t>
      </w:r>
    </w:p>
    <w:p>
      <w:r>
        <w:rPr>
          <w:b w:val="0"/>
        </w:rPr>
      </w:r>
      <w:r>
        <w:rPr>
          <w:b/>
        </w:rPr>
        <w:t>DAT-18</w:t>
      </w:r>
      <w:r>
        <w:rPr>
          <w:b w:val="0"/>
        </w:rPr>
        <w:t xml:space="preserve"> Future payment_webhook_events shall store a provider event ID, verification outcome and minimal payload reference. Unique provider and event ID prevents duplicate financial mutations. Out of order events must not regress a settled financial state.</w:t>
      </w:r>
    </w:p>
    <w:p>
      <w:pPr>
        <w:pStyle w:val="Heading1"/>
      </w:pPr>
      <w:r>
        <w:t>23 Database integrity and index design</w:t>
      </w:r>
    </w:p>
    <w:p>
      <w:pPr>
        <w:pStyle w:val="Heading2"/>
      </w:pPr>
      <w:r>
        <w:t>Database enforced conflict protection</w:t>
      </w:r>
    </w:p>
    <w:p>
      <w:r>
        <w:rPr>
          <w:b w:val="0"/>
        </w:rPr>
        <w:t>The following representative constraint is an implementation requirement, not a complete migration. PostgreSQL supports exclusion constraints for cross row restrictions [S7]. Enable btree_gist in the selected Neon database before applying the equivalent schema.</w:t>
      </w:r>
    </w:p>
    <w:p>
      <w:pPr>
        <w:pStyle w:val="Code"/>
      </w:pPr>
      <w:r>
        <w:t>CREATE EXTENSION IF NOT EXISTS btree_gist;</w:t>
      </w:r>
    </w:p>
    <w:p>
      <w:pPr>
        <w:pStyle w:val="Code"/>
      </w:pPr>
    </w:p>
    <w:p>
      <w:pPr>
        <w:pStyle w:val="Code"/>
      </w:pPr>
      <w:r>
        <w:t>ALTER TABLE reservations ADD CONSTRAINT valid_time</w:t>
      </w:r>
    </w:p>
    <w:p>
      <w:pPr>
        <w:pStyle w:val="Code"/>
      </w:pPr>
      <w:r>
        <w:t xml:space="preserve">  CHECK (ends_at &gt; starts_at);</w:t>
      </w:r>
    </w:p>
    <w:p>
      <w:pPr>
        <w:pStyle w:val="Code"/>
      </w:pPr>
    </w:p>
    <w:p>
      <w:pPr>
        <w:pStyle w:val="Code"/>
      </w:pPr>
      <w:r>
        <w:t>ALTER TABLE reservations ADD CONSTRAINT valid_hold</w:t>
      </w:r>
    </w:p>
    <w:p>
      <w:pPr>
        <w:pStyle w:val="Code"/>
      </w:pPr>
      <w:r>
        <w:t xml:space="preserve">  CHECK (state &lt;&gt; 'held' OR expires_at IS NOT NULL);</w:t>
      </w:r>
    </w:p>
    <w:p>
      <w:pPr>
        <w:pStyle w:val="Code"/>
      </w:pPr>
    </w:p>
    <w:p>
      <w:pPr>
        <w:pStyle w:val="Code"/>
      </w:pPr>
      <w:r>
        <w:t>ALTER TABLE reservations ADD CONSTRAINT no_overlap</w:t>
      </w:r>
    </w:p>
    <w:p>
      <w:pPr>
        <w:pStyle w:val="Code"/>
      </w:pPr>
      <w:r>
        <w:t xml:space="preserve">  EXCLUDE USING gist (</w:t>
      </w:r>
    </w:p>
    <w:p>
      <w:pPr>
        <w:pStyle w:val="Code"/>
      </w:pPr>
      <w:r>
        <w:t xml:space="preserve">    resource_id WITH =,</w:t>
      </w:r>
    </w:p>
    <w:p>
      <w:pPr>
        <w:pStyle w:val="Code"/>
      </w:pPr>
      <w:r>
        <w:t xml:space="preserve">    occupied_range WITH &amp;&amp;</w:t>
      </w:r>
    </w:p>
    <w:p>
      <w:pPr>
        <w:pStyle w:val="Code"/>
      </w:pPr>
      <w:r>
        <w:t xml:space="preserve">  ) WHERE (state IN ('held', 'committed'));</w:t>
      </w:r>
    </w:p>
    <w:p>
      <w:r>
        <w:rPr>
          <w:b w:val="0"/>
        </w:rPr>
      </w:r>
      <w:r>
        <w:rPr>
          <w:b/>
        </w:rPr>
        <w:t>DAT-19</w:t>
      </w:r>
      <w:r>
        <w:rPr>
          <w:b w:val="0"/>
        </w:rPr>
        <w:t xml:space="preserve"> Add NOT NULL to required fields and validate that occupied_range is nonempty, bounded and equal to the server derived buffered interval. Expired held records remain blocking until explicitly transitioned; the transaction flow in Section 12 performs that cleanup. Availability queries must apply the same state and expiry semantics.</w:t>
      </w:r>
    </w:p>
    <w:p>
      <w:pPr>
        <w:pStyle w:val="Heading2"/>
      </w:pPr>
      <w:r>
        <w:t>Key and relationship constraints</w:t>
      </w:r>
    </w:p>
    <w:p>
      <w:r>
        <w:rPr>
          <w:b w:val="0"/>
        </w:rPr>
      </w:r>
      <w:r>
        <w:rPr>
          <w:b/>
        </w:rPr>
        <w:t>DAT-20</w:t>
      </w:r>
      <w:r>
        <w:rPr>
          <w:b w:val="0"/>
        </w:rPr>
        <w:t xml:space="preserve"> Enforce foreign keys on patient, practitioner, branch, offering, reservation and booking relations. Deleting a referenced provider or branch shall be restricted or handled by an approved anonymisation workflow, not by cascading destruction of historical appointments. All cross tenant relationships shall be checked before insertion.</w:t>
      </w:r>
    </w:p>
    <w:p>
      <w:r>
        <w:rPr>
          <w:b w:val="0"/>
        </w:rPr>
      </w:r>
      <w:r>
        <w:rPr>
          <w:b/>
        </w:rPr>
        <w:t>DAT-21</w:t>
      </w:r>
      <w:r>
        <w:rPr>
          <w:b w:val="0"/>
        </w:rPr>
        <w:t xml:space="preserve"> Authoritatively verified registration records shall be unique within the issuing authority, jurisdiction and credential type for the normalised number. Unverified competing submissions may coexist in a review area; they shall not create two independently verified profiles. Retain the original number for display and evidence comparison.</w:t>
      </w:r>
    </w:p>
    <w:p>
      <w:r>
        <w:rPr>
          <w:b w:val="0"/>
        </w:rPr>
      </w:r>
      <w:r>
        <w:rPr>
          <w:b/>
        </w:rPr>
        <w:t>DAT-22</w:t>
      </w:r>
      <w:r>
        <w:rPr>
          <w:b w:val="0"/>
        </w:rPr>
        <w:t xml:space="preserve"> A patient schedule lock and overlap query shall reject overlapping active patient appointments, including holds. If using a second exclusion constraint, use the appointment interval rather than practitioner travel buffers and validate its effect on dependant bookings.</w:t>
      </w:r>
    </w:p>
    <w:p>
      <w:pPr>
        <w:pStyle w:val="Heading2"/>
      </w:pPr>
      <w:r>
        <w:t>Query indexes and projections</w:t>
      </w:r>
    </w:p>
    <w:p>
      <w:r>
        <w:rPr>
          <w:b w:val="0"/>
        </w:rPr>
        <w:t>Create B tree indexes on foreign keys and common filters: booking patient plus start time, practitioner plus status and start time, branch plus date, pending review state plus submitted time, and outbox state plus available time. Use a unique booking reference and idempotency key index.</w:t>
      </w:r>
    </w:p>
    <w:p>
      <w:r>
        <w:rPr>
          <w:b w:val="0"/>
        </w:rPr>
        <w:t>Use a GIN index on an approved profile search vector and trigram indexes on normalised names where measured. Use geographic indexes when radius filtering is enabled. Partial indexes may cover active listings and queues with stable predicates. Validate plans on the agreed load dataset; avoid indexing every field without a query need.</w:t>
      </w:r>
    </w:p>
    <w:p>
      <w:pPr>
        <w:pStyle w:val="Heading1"/>
        <w:pageBreakBefore/>
      </w:pPr>
      <w:r>
        <w:t>24 API surface and contracts</w:t>
      </w:r>
    </w:p>
    <w:p>
      <w:pPr>
        <w:pStyle w:val="Heading2"/>
      </w:pPr>
      <w:r>
        <w:t>Common API rules</w:t>
      </w:r>
    </w:p>
    <w:p>
      <w:r>
        <w:rPr>
          <w:b w:val="0"/>
        </w:rPr>
      </w:r>
      <w:r>
        <w:rPr>
          <w:b/>
        </w:rPr>
        <w:t>API-03</w:t>
      </w:r>
      <w:r>
        <w:rPr>
          <w:b w:val="0"/>
        </w:rPr>
        <w:t xml:space="preserve"> Expose versioned JSON endpoints under /api/v1. Validate every request with a shared schema, enforce role and record scope, use ISO 8601 timestamps with offsets, and return a request ID. Private responses shall use no store caching. Public APIs shall project approved fields only.</w:t>
      </w:r>
    </w:p>
    <w:p>
      <w:r>
        <w:rPr>
          <w:b w:val="0"/>
        </w:rPr>
      </w:r>
      <w:r>
        <w:rPr>
          <w:b/>
        </w:rPr>
        <w:t>API-04</w:t>
      </w:r>
      <w:r>
        <w:rPr>
          <w:b w:val="0"/>
        </w:rPr>
        <w:t xml:space="preserve"> Use cursor pagination with a maximum page size of 50. Return stable machine error codes and safe user messages. Common responses are 400 invalid input, 401 unauthenticated, 403 unauthorised, 404 unavailable resource, 409 conflict, 422 business validation, 429 rate limited and 503 dependency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3"/>
        <w:gridCol w:w="2635"/>
        <w:gridCol w:w="4248"/>
      </w:tblGrid>
      <w:tr>
        <w:trPr>
          <w:cantSplit/>
          <w:tblHeader/>
        </w:trPr>
        <w:tc>
          <w:tcPr>
            <w:tcW w:type="dxa" w:w="3283"/>
            <w:vAlign w:val="center"/>
            <w:shd w:fill="183B4E"/>
            <w:tcMar>
              <w:top w:w="85" w:type="dxa"/>
              <w:left w:w="85" w:type="dxa"/>
              <w:bottom w:w="85" w:type="dxa"/>
              <w:right w:w="85" w:type="dxa"/>
            </w:tcMar>
          </w:tcPr>
          <w:p>
            <w:pPr>
              <w:spacing w:after="20" w:line="245" w:lineRule="auto"/>
            </w:pPr>
            <w:r>
              <w:rPr>
                <w:b/>
                <w:color w:val="FFFFFF"/>
                <w:sz w:val="20"/>
              </w:rPr>
              <w:t>Endpoint family</w:t>
            </w:r>
          </w:p>
        </w:tc>
        <w:tc>
          <w:tcPr>
            <w:tcW w:type="dxa" w:w="2635"/>
            <w:vAlign w:val="center"/>
            <w:shd w:fill="183B4E"/>
            <w:tcMar>
              <w:top w:w="85" w:type="dxa"/>
              <w:left w:w="85" w:type="dxa"/>
              <w:bottom w:w="85" w:type="dxa"/>
              <w:right w:w="85" w:type="dxa"/>
            </w:tcMar>
          </w:tcPr>
          <w:p>
            <w:pPr>
              <w:spacing w:after="20" w:line="245" w:lineRule="auto"/>
            </w:pPr>
            <w:r>
              <w:rPr>
                <w:b/>
                <w:color w:val="FFFFFF"/>
                <w:sz w:val="20"/>
              </w:rPr>
              <w:t>Main operations</w:t>
            </w:r>
          </w:p>
        </w:tc>
        <w:tc>
          <w:tcPr>
            <w:tcW w:type="dxa" w:w="4248"/>
            <w:vAlign w:val="center"/>
            <w:shd w:fill="183B4E"/>
            <w:tcMar>
              <w:top w:w="85" w:type="dxa"/>
              <w:left w:w="85" w:type="dxa"/>
              <w:bottom w:w="85" w:type="dxa"/>
              <w:right w:w="85" w:type="dxa"/>
            </w:tcMar>
          </w:tcPr>
          <w:p>
            <w:pPr>
              <w:spacing w:after="20" w:line="245" w:lineRule="auto"/>
            </w:pPr>
            <w:r>
              <w:rPr>
                <w:b/>
                <w:color w:val="FFFFFF"/>
                <w:sz w:val="20"/>
              </w:rPr>
              <w:t>Access and requirements</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GET /locations and /specialties</w:t>
            </w:r>
          </w:p>
        </w:tc>
        <w:tc>
          <w:tcPr>
            <w:tcW w:type="dxa" w:w="2635"/>
            <w:vAlign w:val="center"/>
            <w:shd w:fill="FFFFFF"/>
            <w:tcMar>
              <w:top w:w="85" w:type="dxa"/>
              <w:left w:w="85" w:type="dxa"/>
              <w:bottom w:w="85" w:type="dxa"/>
              <w:right w:w="85" w:type="dxa"/>
            </w:tcMar>
          </w:tcPr>
          <w:p>
            <w:pPr>
              <w:spacing w:after="20" w:line="245" w:lineRule="auto"/>
            </w:pPr>
            <w:r>
              <w:rPr>
                <w:b w:val="0"/>
                <w:sz w:val="20"/>
              </w:rPr>
              <w:t>Hierarchy, aliases and taxonomy lookup</w:t>
            </w:r>
          </w:p>
        </w:tc>
        <w:tc>
          <w:tcPr>
            <w:tcW w:type="dxa" w:w="4248"/>
            <w:vAlign w:val="center"/>
            <w:shd w:fill="FFFFFF"/>
            <w:tcMar>
              <w:top w:w="85" w:type="dxa"/>
              <w:left w:w="85" w:type="dxa"/>
              <w:bottom w:w="85" w:type="dxa"/>
              <w:right w:w="85" w:type="dxa"/>
            </w:tcMar>
          </w:tcPr>
          <w:p>
            <w:pPr>
              <w:spacing w:after="20" w:line="245" w:lineRule="auto"/>
            </w:pPr>
            <w:r>
              <w:rPr>
                <w:b w:val="0"/>
                <w:sz w:val="20"/>
              </w:rPr>
              <w:t>Public; cached approved data</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GET /practitioners</w:t>
            </w:r>
          </w:p>
        </w:tc>
        <w:tc>
          <w:tcPr>
            <w:tcW w:type="dxa" w:w="2635"/>
            <w:vAlign w:val="center"/>
            <w:shd w:fill="F0F4F6"/>
            <w:tcMar>
              <w:top w:w="85" w:type="dxa"/>
              <w:left w:w="85" w:type="dxa"/>
              <w:bottom w:w="85" w:type="dxa"/>
              <w:right w:w="85" w:type="dxa"/>
            </w:tcMar>
          </w:tcPr>
          <w:p>
            <w:pPr>
              <w:spacing w:after="20" w:line="245" w:lineRule="auto"/>
            </w:pPr>
            <w:r>
              <w:rPr>
                <w:b w:val="0"/>
                <w:sz w:val="20"/>
              </w:rPr>
              <w:t>Search and filters</w:t>
            </w:r>
          </w:p>
        </w:tc>
        <w:tc>
          <w:tcPr>
            <w:tcW w:type="dxa" w:w="4248"/>
            <w:vAlign w:val="center"/>
            <w:shd w:fill="F0F4F6"/>
            <w:tcMar>
              <w:top w:w="85" w:type="dxa"/>
              <w:left w:w="85" w:type="dxa"/>
              <w:bottom w:w="85" w:type="dxa"/>
              <w:right w:w="85" w:type="dxa"/>
            </w:tcMar>
          </w:tcPr>
          <w:p>
            <w:pPr>
              <w:spacing w:after="20" w:line="245" w:lineRule="auto"/>
            </w:pPr>
            <w:r>
              <w:rPr>
                <w:b w:val="0"/>
                <w:sz w:val="20"/>
              </w:rPr>
              <w:t>Public; unique practitioner results and stable pagination</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GET /practitioners/{id}</w:t>
            </w:r>
          </w:p>
        </w:tc>
        <w:tc>
          <w:tcPr>
            <w:tcW w:type="dxa" w:w="2635"/>
            <w:vAlign w:val="center"/>
            <w:shd w:fill="FFFFFF"/>
            <w:tcMar>
              <w:top w:w="85" w:type="dxa"/>
              <w:left w:w="85" w:type="dxa"/>
              <w:bottom w:w="85" w:type="dxa"/>
              <w:right w:w="85" w:type="dxa"/>
            </w:tcMar>
          </w:tcPr>
          <w:p>
            <w:pPr>
              <w:spacing w:after="20" w:line="245" w:lineRule="auto"/>
            </w:pPr>
            <w:r>
              <w:rPr>
                <w:b w:val="0"/>
                <w:sz w:val="20"/>
              </w:rPr>
              <w:t>Published profile</w:t>
            </w:r>
          </w:p>
        </w:tc>
        <w:tc>
          <w:tcPr>
            <w:tcW w:type="dxa" w:w="4248"/>
            <w:vAlign w:val="center"/>
            <w:shd w:fill="FFFFFF"/>
            <w:tcMar>
              <w:top w:w="85" w:type="dxa"/>
              <w:left w:w="85" w:type="dxa"/>
              <w:bottom w:w="85" w:type="dxa"/>
              <w:right w:w="85" w:type="dxa"/>
            </w:tcMar>
          </w:tcPr>
          <w:p>
            <w:pPr>
              <w:spacing w:after="20" w:line="245" w:lineRule="auto"/>
            </w:pPr>
            <w:r>
              <w:rPr>
                <w:b w:val="0"/>
                <w:sz w:val="20"/>
              </w:rPr>
              <w:t>Public; no drafts, evidence or private contact</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POST /practitioners and /claims</w:t>
            </w:r>
          </w:p>
        </w:tc>
        <w:tc>
          <w:tcPr>
            <w:tcW w:type="dxa" w:w="2635"/>
            <w:vAlign w:val="center"/>
            <w:shd w:fill="F0F4F6"/>
            <w:tcMar>
              <w:top w:w="85" w:type="dxa"/>
              <w:left w:w="85" w:type="dxa"/>
              <w:bottom w:w="85" w:type="dxa"/>
              <w:right w:w="85" w:type="dxa"/>
            </w:tcMar>
          </w:tcPr>
          <w:p>
            <w:pPr>
              <w:spacing w:after="20" w:line="245" w:lineRule="auto"/>
            </w:pPr>
            <w:r>
              <w:rPr>
                <w:b w:val="0"/>
                <w:sz w:val="20"/>
              </w:rPr>
              <w:t>Draft creation or existing profile claim</w:t>
            </w:r>
          </w:p>
        </w:tc>
        <w:tc>
          <w:tcPr>
            <w:tcW w:type="dxa" w:w="4248"/>
            <w:vAlign w:val="center"/>
            <w:shd w:fill="F0F4F6"/>
            <w:tcMar>
              <w:top w:w="85" w:type="dxa"/>
              <w:left w:w="85" w:type="dxa"/>
              <w:bottom w:w="85" w:type="dxa"/>
              <w:right w:w="85" w:type="dxa"/>
            </w:tcMar>
          </w:tcPr>
          <w:p>
            <w:pPr>
              <w:spacing w:after="20" w:line="245" w:lineRule="auto"/>
            </w:pPr>
            <w:r>
              <w:rPr>
                <w:b w:val="0"/>
                <w:sz w:val="20"/>
              </w:rPr>
              <w:t>Verified user; duplicate checks and consent</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PATCH /workspace/profile</w:t>
            </w:r>
          </w:p>
        </w:tc>
        <w:tc>
          <w:tcPr>
            <w:tcW w:type="dxa" w:w="2635"/>
            <w:vAlign w:val="center"/>
            <w:shd w:fill="FFFFFF"/>
            <w:tcMar>
              <w:top w:w="85" w:type="dxa"/>
              <w:left w:w="85" w:type="dxa"/>
              <w:bottom w:w="85" w:type="dxa"/>
              <w:right w:w="85" w:type="dxa"/>
            </w:tcMar>
          </w:tcPr>
          <w:p>
            <w:pPr>
              <w:spacing w:after="20" w:line="245" w:lineRule="auto"/>
            </w:pPr>
            <w:r>
              <w:rPr>
                <w:b w:val="0"/>
                <w:sz w:val="20"/>
              </w:rPr>
              <w:t>Save draft fields</w:t>
            </w:r>
          </w:p>
        </w:tc>
        <w:tc>
          <w:tcPr>
            <w:tcW w:type="dxa" w:w="4248"/>
            <w:vAlign w:val="center"/>
            <w:shd w:fill="FFFFFF"/>
            <w:tcMar>
              <w:top w:w="85" w:type="dxa"/>
              <w:left w:w="85" w:type="dxa"/>
              <w:bottom w:w="85" w:type="dxa"/>
              <w:right w:w="85" w:type="dxa"/>
            </w:tcMar>
          </w:tcPr>
          <w:p>
            <w:pPr>
              <w:spacing w:after="20" w:line="245" w:lineRule="auto"/>
            </w:pPr>
            <w:r>
              <w:rPr>
                <w:b w:val="0"/>
                <w:sz w:val="20"/>
              </w:rPr>
              <w:t>Owner; expected version and field level validation</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POST /workspace/profile/submit</w:t>
            </w:r>
          </w:p>
        </w:tc>
        <w:tc>
          <w:tcPr>
            <w:tcW w:type="dxa" w:w="2635"/>
            <w:vAlign w:val="center"/>
            <w:shd w:fill="F0F4F6"/>
            <w:tcMar>
              <w:top w:w="85" w:type="dxa"/>
              <w:left w:w="85" w:type="dxa"/>
              <w:bottom w:w="85" w:type="dxa"/>
              <w:right w:w="85" w:type="dxa"/>
            </w:tcMar>
          </w:tcPr>
          <w:p>
            <w:pPr>
              <w:spacing w:after="20" w:line="245" w:lineRule="auto"/>
            </w:pPr>
            <w:r>
              <w:rPr>
                <w:b w:val="0"/>
                <w:sz w:val="20"/>
              </w:rPr>
              <w:t>Submit review version</w:t>
            </w:r>
          </w:p>
        </w:tc>
        <w:tc>
          <w:tcPr>
            <w:tcW w:type="dxa" w:w="4248"/>
            <w:vAlign w:val="center"/>
            <w:shd w:fill="F0F4F6"/>
            <w:tcMar>
              <w:top w:w="85" w:type="dxa"/>
              <w:left w:w="85" w:type="dxa"/>
              <w:bottom w:w="85" w:type="dxa"/>
              <w:right w:w="85" w:type="dxa"/>
            </w:tcMar>
          </w:tcPr>
          <w:p>
            <w:pPr>
              <w:spacing w:after="20" w:line="245" w:lineRule="auto"/>
            </w:pPr>
            <w:r>
              <w:rPr>
                <w:b w:val="0"/>
                <w:sz w:val="20"/>
              </w:rPr>
              <w:t>Owner; complete required fields</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GET /offerings/{id}/slots</w:t>
            </w:r>
          </w:p>
        </w:tc>
        <w:tc>
          <w:tcPr>
            <w:tcW w:type="dxa" w:w="2635"/>
            <w:vAlign w:val="center"/>
            <w:shd w:fill="FFFFFF"/>
            <w:tcMar>
              <w:top w:w="85" w:type="dxa"/>
              <w:left w:w="85" w:type="dxa"/>
              <w:bottom w:w="85" w:type="dxa"/>
              <w:right w:w="85" w:type="dxa"/>
            </w:tcMar>
          </w:tcPr>
          <w:p>
            <w:pPr>
              <w:spacing w:after="20" w:line="245" w:lineRule="auto"/>
            </w:pPr>
            <w:r>
              <w:rPr>
                <w:b w:val="0"/>
                <w:sz w:val="20"/>
              </w:rPr>
              <w:t>Slot display by date range</w:t>
            </w:r>
          </w:p>
        </w:tc>
        <w:tc>
          <w:tcPr>
            <w:tcW w:type="dxa" w:w="4248"/>
            <w:vAlign w:val="center"/>
            <w:shd w:fill="FFFFFF"/>
            <w:tcMar>
              <w:top w:w="85" w:type="dxa"/>
              <w:left w:w="85" w:type="dxa"/>
              <w:bottom w:w="85" w:type="dxa"/>
              <w:right w:w="85" w:type="dxa"/>
            </w:tcMar>
          </w:tcPr>
          <w:p>
            <w:pPr>
              <w:spacing w:after="20" w:line="245" w:lineRule="auto"/>
            </w:pPr>
            <w:r>
              <w:rPr>
                <w:b w:val="0"/>
                <w:sz w:val="20"/>
              </w:rPr>
              <w:t>Public; bounded 31 day query window</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POST /booking-holds</w:t>
            </w:r>
          </w:p>
        </w:tc>
        <w:tc>
          <w:tcPr>
            <w:tcW w:type="dxa" w:w="2635"/>
            <w:vAlign w:val="center"/>
            <w:shd w:fill="F0F4F6"/>
            <w:tcMar>
              <w:top w:w="85" w:type="dxa"/>
              <w:left w:w="85" w:type="dxa"/>
              <w:bottom w:w="85" w:type="dxa"/>
              <w:right w:w="85" w:type="dxa"/>
            </w:tcMar>
          </w:tcPr>
          <w:p>
            <w:pPr>
              <w:spacing w:after="20" w:line="245" w:lineRule="auto"/>
            </w:pPr>
            <w:r>
              <w:rPr>
                <w:b w:val="0"/>
                <w:sz w:val="20"/>
              </w:rPr>
              <w:t>Reserve a selected slot and quote</w:t>
            </w:r>
          </w:p>
        </w:tc>
        <w:tc>
          <w:tcPr>
            <w:tcW w:type="dxa" w:w="4248"/>
            <w:vAlign w:val="center"/>
            <w:shd w:fill="F0F4F6"/>
            <w:tcMar>
              <w:top w:w="85" w:type="dxa"/>
              <w:left w:w="85" w:type="dxa"/>
              <w:bottom w:w="85" w:type="dxa"/>
              <w:right w:w="85" w:type="dxa"/>
            </w:tcMar>
          </w:tcPr>
          <w:p>
            <w:pPr>
              <w:spacing w:after="20" w:line="245" w:lineRule="auto"/>
            </w:pPr>
            <w:r>
              <w:rPr>
                <w:b w:val="0"/>
                <w:sz w:val="20"/>
              </w:rPr>
              <w:t>Authenticated patient; idempotency key required</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POST /bookings</w:t>
            </w:r>
          </w:p>
        </w:tc>
        <w:tc>
          <w:tcPr>
            <w:tcW w:type="dxa" w:w="2635"/>
            <w:vAlign w:val="center"/>
            <w:shd w:fill="FFFFFF"/>
            <w:tcMar>
              <w:top w:w="85" w:type="dxa"/>
              <w:left w:w="85" w:type="dxa"/>
              <w:bottom w:w="85" w:type="dxa"/>
              <w:right w:w="85" w:type="dxa"/>
            </w:tcMar>
          </w:tcPr>
          <w:p>
            <w:pPr>
              <w:spacing w:after="20" w:line="245" w:lineRule="auto"/>
            </w:pPr>
            <w:r>
              <w:rPr>
                <w:b w:val="0"/>
                <w:sz w:val="20"/>
              </w:rPr>
              <w:t>Confirm owned active hold</w:t>
            </w:r>
          </w:p>
        </w:tc>
        <w:tc>
          <w:tcPr>
            <w:tcW w:type="dxa" w:w="4248"/>
            <w:vAlign w:val="center"/>
            <w:shd w:fill="FFFFFF"/>
            <w:tcMar>
              <w:top w:w="85" w:type="dxa"/>
              <w:left w:w="85" w:type="dxa"/>
              <w:bottom w:w="85" w:type="dxa"/>
              <w:right w:w="85" w:type="dxa"/>
            </w:tcMar>
          </w:tcPr>
          <w:p>
            <w:pPr>
              <w:spacing w:after="20" w:line="245" w:lineRule="auto"/>
            </w:pPr>
            <w:r>
              <w:rPr>
                <w:b w:val="0"/>
                <w:sz w:val="20"/>
              </w:rPr>
              <w:t>Patient or authorised staff; transactional commit</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GET /bookings/{id}</w:t>
            </w:r>
          </w:p>
        </w:tc>
        <w:tc>
          <w:tcPr>
            <w:tcW w:type="dxa" w:w="2635"/>
            <w:vAlign w:val="center"/>
            <w:shd w:fill="F0F4F6"/>
            <w:tcMar>
              <w:top w:w="85" w:type="dxa"/>
              <w:left w:w="85" w:type="dxa"/>
              <w:bottom w:w="85" w:type="dxa"/>
              <w:right w:w="85" w:type="dxa"/>
            </w:tcMar>
          </w:tcPr>
          <w:p>
            <w:pPr>
              <w:spacing w:after="20" w:line="245" w:lineRule="auto"/>
            </w:pPr>
            <w:r>
              <w:rPr>
                <w:b w:val="0"/>
                <w:sz w:val="20"/>
              </w:rPr>
              <w:t>Appointment detail</w:t>
            </w:r>
          </w:p>
        </w:tc>
        <w:tc>
          <w:tcPr>
            <w:tcW w:type="dxa" w:w="4248"/>
            <w:vAlign w:val="center"/>
            <w:shd w:fill="F0F4F6"/>
            <w:tcMar>
              <w:top w:w="85" w:type="dxa"/>
              <w:left w:w="85" w:type="dxa"/>
              <w:bottom w:w="85" w:type="dxa"/>
              <w:right w:w="85" w:type="dxa"/>
            </w:tcMar>
          </w:tcPr>
          <w:p>
            <w:pPr>
              <w:spacing w:after="20" w:line="245" w:lineRule="auto"/>
            </w:pPr>
            <w:r>
              <w:rPr>
                <w:b w:val="0"/>
                <w:sz w:val="20"/>
              </w:rPr>
              <w:t>Owner or assigned operational scope</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POST /bookings/{id}/cancel</w:t>
            </w:r>
          </w:p>
        </w:tc>
        <w:tc>
          <w:tcPr>
            <w:tcW w:type="dxa" w:w="2635"/>
            <w:vAlign w:val="center"/>
            <w:shd w:fill="FFFFFF"/>
            <w:tcMar>
              <w:top w:w="85" w:type="dxa"/>
              <w:left w:w="85" w:type="dxa"/>
              <w:bottom w:w="85" w:type="dxa"/>
              <w:right w:w="85" w:type="dxa"/>
            </w:tcMar>
          </w:tcPr>
          <w:p>
            <w:pPr>
              <w:spacing w:after="20" w:line="245" w:lineRule="auto"/>
            </w:pPr>
            <w:r>
              <w:rPr>
                <w:b w:val="0"/>
                <w:sz w:val="20"/>
              </w:rPr>
              <w:t>Cancel with actor and reason</w:t>
            </w:r>
          </w:p>
        </w:tc>
        <w:tc>
          <w:tcPr>
            <w:tcW w:type="dxa" w:w="4248"/>
            <w:vAlign w:val="center"/>
            <w:shd w:fill="FFFFFF"/>
            <w:tcMar>
              <w:top w:w="85" w:type="dxa"/>
              <w:left w:w="85" w:type="dxa"/>
              <w:bottom w:w="85" w:type="dxa"/>
              <w:right w:w="85" w:type="dxa"/>
            </w:tcMar>
          </w:tcPr>
          <w:p>
            <w:pPr>
              <w:spacing w:after="20" w:line="245" w:lineRule="auto"/>
            </w:pPr>
            <w:r>
              <w:rPr>
                <w:b w:val="0"/>
                <w:sz w:val="20"/>
              </w:rPr>
              <w:t>Policy and expected version required</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POST /bookings/{id}/reschedule</w:t>
            </w:r>
          </w:p>
        </w:tc>
        <w:tc>
          <w:tcPr>
            <w:tcW w:type="dxa" w:w="2635"/>
            <w:vAlign w:val="center"/>
            <w:shd w:fill="F0F4F6"/>
            <w:tcMar>
              <w:top w:w="85" w:type="dxa"/>
              <w:left w:w="85" w:type="dxa"/>
              <w:bottom w:w="85" w:type="dxa"/>
              <w:right w:w="85" w:type="dxa"/>
            </w:tcMar>
          </w:tcPr>
          <w:p>
            <w:pPr>
              <w:spacing w:after="20" w:line="245" w:lineRule="auto"/>
            </w:pPr>
            <w:r>
              <w:rPr>
                <w:b w:val="0"/>
                <w:sz w:val="20"/>
              </w:rPr>
              <w:t>Atomic time or offering change</w:t>
            </w:r>
          </w:p>
        </w:tc>
        <w:tc>
          <w:tcPr>
            <w:tcW w:type="dxa" w:w="4248"/>
            <w:vAlign w:val="center"/>
            <w:shd w:fill="F0F4F6"/>
            <w:tcMar>
              <w:top w:w="85" w:type="dxa"/>
              <w:left w:w="85" w:type="dxa"/>
              <w:bottom w:w="85" w:type="dxa"/>
              <w:right w:w="85" w:type="dxa"/>
            </w:tcMar>
          </w:tcPr>
          <w:p>
            <w:pPr>
              <w:spacing w:after="20" w:line="245" w:lineRule="auto"/>
            </w:pPr>
            <w:r>
              <w:rPr>
                <w:b w:val="0"/>
                <w:sz w:val="20"/>
              </w:rPr>
              <w:t>Requote and user acceptance; idempotency required</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PUT /workspace/availability</w:t>
            </w:r>
          </w:p>
        </w:tc>
        <w:tc>
          <w:tcPr>
            <w:tcW w:type="dxa" w:w="2635"/>
            <w:vAlign w:val="center"/>
            <w:shd w:fill="FFFFFF"/>
            <w:tcMar>
              <w:top w:w="85" w:type="dxa"/>
              <w:left w:w="85" w:type="dxa"/>
              <w:bottom w:w="85" w:type="dxa"/>
              <w:right w:w="85" w:type="dxa"/>
            </w:tcMar>
          </w:tcPr>
          <w:p>
            <w:pPr>
              <w:spacing w:after="20" w:line="245" w:lineRule="auto"/>
            </w:pPr>
            <w:r>
              <w:rPr>
                <w:b w:val="0"/>
                <w:sz w:val="20"/>
              </w:rPr>
              <w:t>Publish schedule or exception</w:t>
            </w:r>
          </w:p>
        </w:tc>
        <w:tc>
          <w:tcPr>
            <w:tcW w:type="dxa" w:w="4248"/>
            <w:vAlign w:val="center"/>
            <w:shd w:fill="FFFFFF"/>
            <w:tcMar>
              <w:top w:w="85" w:type="dxa"/>
              <w:left w:w="85" w:type="dxa"/>
              <w:bottom w:w="85" w:type="dxa"/>
              <w:right w:w="85" w:type="dxa"/>
            </w:tcMar>
          </w:tcPr>
          <w:p>
            <w:pPr>
              <w:spacing w:after="20" w:line="245" w:lineRule="auto"/>
            </w:pPr>
            <w:r>
              <w:rPr>
                <w:b w:val="0"/>
                <w:sz w:val="20"/>
              </w:rPr>
              <w:t>Practitioner scope; preview impact and version check</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POST /workspace/offers</w:t>
            </w:r>
          </w:p>
        </w:tc>
        <w:tc>
          <w:tcPr>
            <w:tcW w:type="dxa" w:w="2635"/>
            <w:vAlign w:val="center"/>
            <w:shd w:fill="F0F4F6"/>
            <w:tcMar>
              <w:top w:w="85" w:type="dxa"/>
              <w:left w:w="85" w:type="dxa"/>
              <w:bottom w:w="85" w:type="dxa"/>
              <w:right w:w="85" w:type="dxa"/>
            </w:tcMar>
          </w:tcPr>
          <w:p>
            <w:pPr>
              <w:spacing w:after="20" w:line="245" w:lineRule="auto"/>
            </w:pPr>
            <w:r>
              <w:rPr>
                <w:b w:val="0"/>
                <w:sz w:val="20"/>
              </w:rPr>
              <w:t>Draft offer or submit approval</w:t>
            </w:r>
          </w:p>
        </w:tc>
        <w:tc>
          <w:tcPr>
            <w:tcW w:type="dxa" w:w="4248"/>
            <w:vAlign w:val="center"/>
            <w:shd w:fill="F0F4F6"/>
            <w:tcMar>
              <w:top w:w="85" w:type="dxa"/>
              <w:left w:w="85" w:type="dxa"/>
              <w:bottom w:w="85" w:type="dxa"/>
              <w:right w:w="85" w:type="dxa"/>
            </w:tcMar>
          </w:tcPr>
          <w:p>
            <w:pPr>
              <w:spacing w:after="20" w:line="245" w:lineRule="auto"/>
            </w:pPr>
            <w:r>
              <w:rPr>
                <w:b w:val="0"/>
                <w:sz w:val="20"/>
              </w:rPr>
              <w:t>Provider scope; cap and amount validation</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POST /admin/cases/{id}/decision</w:t>
            </w:r>
          </w:p>
        </w:tc>
        <w:tc>
          <w:tcPr>
            <w:tcW w:type="dxa" w:w="2635"/>
            <w:vAlign w:val="center"/>
            <w:shd w:fill="FFFFFF"/>
            <w:tcMar>
              <w:top w:w="85" w:type="dxa"/>
              <w:left w:w="85" w:type="dxa"/>
              <w:bottom w:w="85" w:type="dxa"/>
              <w:right w:w="85" w:type="dxa"/>
            </w:tcMar>
          </w:tcPr>
          <w:p>
            <w:pPr>
              <w:spacing w:after="20" w:line="245" w:lineRule="auto"/>
            </w:pPr>
            <w:r>
              <w:rPr>
                <w:b w:val="0"/>
                <w:sz w:val="20"/>
              </w:rPr>
              <w:t>Approve, reject or request change</w:t>
            </w:r>
          </w:p>
        </w:tc>
        <w:tc>
          <w:tcPr>
            <w:tcW w:type="dxa" w:w="4248"/>
            <w:vAlign w:val="center"/>
            <w:shd w:fill="FFFFFF"/>
            <w:tcMar>
              <w:top w:w="85" w:type="dxa"/>
              <w:left w:w="85" w:type="dxa"/>
              <w:bottom w:w="85" w:type="dxa"/>
              <w:right w:w="85" w:type="dxa"/>
            </w:tcMar>
          </w:tcPr>
          <w:p>
            <w:pPr>
              <w:spacing w:after="20" w:line="245" w:lineRule="auto"/>
            </w:pPr>
            <w:r>
              <w:rPr>
                <w:b w:val="0"/>
                <w:sz w:val="20"/>
              </w:rPr>
              <w:t>Reviewer or admin; reason and evidence reference</w:t>
            </w:r>
          </w:p>
        </w:tc>
      </w:tr>
      <w:tr>
        <w:trPr>
          <w:cantSplit/>
        </w:trPr>
        <w:tc>
          <w:tcPr>
            <w:tcW w:type="dxa" w:w="3283"/>
            <w:vAlign w:val="center"/>
            <w:shd w:fill="F0F4F6"/>
            <w:tcMar>
              <w:top w:w="85" w:type="dxa"/>
              <w:left w:w="85" w:type="dxa"/>
              <w:bottom w:w="85" w:type="dxa"/>
              <w:right w:w="85" w:type="dxa"/>
            </w:tcMar>
          </w:tcPr>
          <w:p>
            <w:pPr>
              <w:spacing w:after="20" w:line="245" w:lineRule="auto"/>
            </w:pPr>
            <w:r>
              <w:rPr>
                <w:b w:val="0"/>
                <w:sz w:val="20"/>
              </w:rPr>
              <w:t>GET /admin/analytics</w:t>
            </w:r>
          </w:p>
        </w:tc>
        <w:tc>
          <w:tcPr>
            <w:tcW w:type="dxa" w:w="2635"/>
            <w:vAlign w:val="center"/>
            <w:shd w:fill="F0F4F6"/>
            <w:tcMar>
              <w:top w:w="85" w:type="dxa"/>
              <w:left w:w="85" w:type="dxa"/>
              <w:bottom w:w="85" w:type="dxa"/>
              <w:right w:w="85" w:type="dxa"/>
            </w:tcMar>
          </w:tcPr>
          <w:p>
            <w:pPr>
              <w:spacing w:after="20" w:line="245" w:lineRule="auto"/>
            </w:pPr>
            <w:r>
              <w:rPr>
                <w:b w:val="0"/>
                <w:sz w:val="20"/>
              </w:rPr>
              <w:t>Aggregates and export job request</w:t>
            </w:r>
          </w:p>
        </w:tc>
        <w:tc>
          <w:tcPr>
            <w:tcW w:type="dxa" w:w="4248"/>
            <w:vAlign w:val="center"/>
            <w:shd w:fill="F0F4F6"/>
            <w:tcMar>
              <w:top w:w="85" w:type="dxa"/>
              <w:left w:w="85" w:type="dxa"/>
              <w:bottom w:w="85" w:type="dxa"/>
              <w:right w:w="85" w:type="dxa"/>
            </w:tcMar>
          </w:tcPr>
          <w:p>
            <w:pPr>
              <w:spacing w:after="20" w:line="245" w:lineRule="auto"/>
            </w:pPr>
            <w:r>
              <w:rPr>
                <w:b w:val="0"/>
                <w:sz w:val="20"/>
              </w:rPr>
              <w:t>Scoped permission; no patient data by default</w:t>
            </w:r>
          </w:p>
        </w:tc>
      </w:tr>
      <w:tr>
        <w:trPr>
          <w:cantSplit/>
        </w:trPr>
        <w:tc>
          <w:tcPr>
            <w:tcW w:type="dxa" w:w="3283"/>
            <w:vAlign w:val="center"/>
            <w:shd w:fill="FFFFFF"/>
            <w:tcMar>
              <w:top w:w="85" w:type="dxa"/>
              <w:left w:w="85" w:type="dxa"/>
              <w:bottom w:w="85" w:type="dxa"/>
              <w:right w:w="85" w:type="dxa"/>
            </w:tcMar>
          </w:tcPr>
          <w:p>
            <w:pPr>
              <w:spacing w:after="20" w:line="245" w:lineRule="auto"/>
            </w:pPr>
            <w:r>
              <w:rPr>
                <w:b w:val="0"/>
                <w:sz w:val="20"/>
              </w:rPr>
              <w:t>POST /webhooks/payments R2</w:t>
            </w:r>
          </w:p>
        </w:tc>
        <w:tc>
          <w:tcPr>
            <w:tcW w:type="dxa" w:w="2635"/>
            <w:vAlign w:val="center"/>
            <w:shd w:fill="FFFFFF"/>
            <w:tcMar>
              <w:top w:w="85" w:type="dxa"/>
              <w:left w:w="85" w:type="dxa"/>
              <w:bottom w:w="85" w:type="dxa"/>
              <w:right w:w="85" w:type="dxa"/>
            </w:tcMar>
          </w:tcPr>
          <w:p>
            <w:pPr>
              <w:spacing w:after="20" w:line="245" w:lineRule="auto"/>
            </w:pPr>
            <w:r>
              <w:rPr>
                <w:b w:val="0"/>
                <w:sz w:val="20"/>
              </w:rPr>
              <w:t>Provider payment event</w:t>
            </w:r>
          </w:p>
        </w:tc>
        <w:tc>
          <w:tcPr>
            <w:tcW w:type="dxa" w:w="4248"/>
            <w:vAlign w:val="center"/>
            <w:shd w:fill="FFFFFF"/>
            <w:tcMar>
              <w:top w:w="85" w:type="dxa"/>
              <w:left w:w="85" w:type="dxa"/>
              <w:bottom w:w="85" w:type="dxa"/>
              <w:right w:w="85" w:type="dxa"/>
            </w:tcMar>
          </w:tcPr>
          <w:p>
            <w:pPr>
              <w:spacing w:after="20" w:line="245" w:lineRule="auto"/>
            </w:pPr>
            <w:r>
              <w:rPr>
                <w:b w:val="0"/>
                <w:sz w:val="20"/>
              </w:rPr>
              <w:t>Signature verification, replay defence and deduplication</w:t>
            </w:r>
          </w:p>
        </w:tc>
      </w:tr>
    </w:tbl>
    <w:p>
      <w:pPr>
        <w:spacing w:after="0" w:line="60" w:lineRule="exact"/>
      </w:pPr>
      <w:r>
        <w:rPr>
          <w:sz w:val="6"/>
        </w:rPr>
      </w:r>
    </w:p>
    <w:p>
      <w:r>
        <w:rPr>
          <w:b w:val="0"/>
        </w:rPr>
      </w:r>
      <w:r>
        <w:rPr>
          <w:b/>
        </w:rPr>
        <w:t>API-05</w:t>
      </w:r>
      <w:r>
        <w:rPr>
          <w:b w:val="0"/>
        </w:rPr>
        <w:t xml:space="preserve"> Generate an OpenAPI specification, example requests, role requirements and error catalogue as development deliverables. Server tests shall verify each operation against this contract. Avoid a generic admin endpoint that can update arbitrary database fields.</w:t>
      </w:r>
    </w:p>
    <w:p>
      <w:pPr>
        <w:pStyle w:val="Heading1"/>
      </w:pPr>
      <w:r>
        <w:t>25 Payloads and event contracts</w:t>
      </w:r>
    </w:p>
    <w:p>
      <w:pPr>
        <w:pStyle w:val="Heading2"/>
      </w:pPr>
      <w:r>
        <w:t>Booking request example</w:t>
      </w:r>
    </w:p>
    <w:p>
      <w:r>
        <w:rPr>
          <w:b w:val="0"/>
        </w:rPr>
        <w:t>This example uses illustrative identifiers. The server owns all price, practitioner scope and eligibility decisions; clients may supply references and acknowledge a quote, but cannot authorise a discount by posting an amount.</w:t>
      </w:r>
    </w:p>
    <w:p>
      <w:pPr>
        <w:pStyle w:val="Code"/>
      </w:pPr>
      <w:r>
        <w:t>POST /api/v1/bookings</w:t>
      </w:r>
    </w:p>
    <w:p>
      <w:pPr>
        <w:pStyle w:val="Code"/>
      </w:pPr>
      <w:r>
        <w:t>Idempotency-Key: client-generated-unique-key</w:t>
      </w:r>
    </w:p>
    <w:p>
      <w:pPr>
        <w:pStyle w:val="Code"/>
      </w:pPr>
      <w:r>
        <w:t>{</w:t>
      </w:r>
    </w:p>
    <w:p>
      <w:pPr>
        <w:pStyle w:val="Code"/>
      </w:pPr>
      <w:r>
        <w:t xml:space="preserve">  "holdId": "opaque-owned-hold-id",</w:t>
      </w:r>
    </w:p>
    <w:p>
      <w:pPr>
        <w:pStyle w:val="Code"/>
      </w:pPr>
      <w:r>
        <w:t xml:space="preserve">  "patientId": "authorised-patient-id",</w:t>
      </w:r>
    </w:p>
    <w:p>
      <w:pPr>
        <w:pStyle w:val="Code"/>
      </w:pPr>
      <w:r>
        <w:t xml:space="preserve">  "expectedQuoteVersion": 3,</w:t>
      </w:r>
    </w:p>
    <w:p>
      <w:pPr>
        <w:pStyle w:val="Code"/>
      </w:pPr>
      <w:r>
        <w:t xml:space="preserve">  "acceptedPolicyVersion": "cancel-2026-01"</w:t>
      </w:r>
    </w:p>
    <w:p>
      <w:pPr>
        <w:pStyle w:val="Code"/>
      </w:pPr>
      <w:r>
        <w:t>}</w:t>
      </w:r>
    </w:p>
    <w:p>
      <w:pPr>
        <w:pStyle w:val="Code"/>
      </w:pPr>
    </w:p>
    <w:p>
      <w:pPr>
        <w:pStyle w:val="Code"/>
      </w:pPr>
      <w:r>
        <w:t>201 Created</w:t>
      </w:r>
    </w:p>
    <w:p>
      <w:pPr>
        <w:pStyle w:val="Code"/>
      </w:pPr>
      <w:r>
        <w:t>{</w:t>
      </w:r>
    </w:p>
    <w:p>
      <w:pPr>
        <w:pStyle w:val="Code"/>
      </w:pPr>
      <w:r>
        <w:t xml:space="preserve">  "bookingId": "uuid",</w:t>
      </w:r>
    </w:p>
    <w:p>
      <w:pPr>
        <w:pStyle w:val="Code"/>
      </w:pPr>
      <w:r>
        <w:t xml:space="preserve">  "reference": "TPI-7K4M2Q",</w:t>
      </w:r>
    </w:p>
    <w:p>
      <w:pPr>
        <w:pStyle w:val="Code"/>
      </w:pPr>
      <w:r>
        <w:t xml:space="preserve">  "status": "confirmed",</w:t>
      </w:r>
    </w:p>
    <w:p>
      <w:pPr>
        <w:pStyle w:val="Code"/>
      </w:pPr>
      <w:r>
        <w:t xml:space="preserve">  "startsAt": "2026-11-02T04:30:00Z",</w:t>
      </w:r>
    </w:p>
    <w:p>
      <w:pPr>
        <w:pStyle w:val="Code"/>
      </w:pPr>
      <w:r>
        <w:t xml:space="preserve">  "timezone": "Asia/Kolkata",</w:t>
      </w:r>
    </w:p>
    <w:p>
      <w:pPr>
        <w:pStyle w:val="Code"/>
      </w:pPr>
      <w:r>
        <w:t xml:space="preserve">  "amountPaise": 80000,</w:t>
      </w:r>
    </w:p>
    <w:p>
      <w:pPr>
        <w:pStyle w:val="Code"/>
      </w:pPr>
      <w:r>
        <w:t xml:space="preserve">  "currency": "INR",</w:t>
      </w:r>
    </w:p>
    <w:p>
      <w:pPr>
        <w:pStyle w:val="Code"/>
      </w:pPr>
      <w:r>
        <w:t xml:space="preserve">  "paymentMode": "pay_at_clinic",</w:t>
      </w:r>
    </w:p>
    <w:p>
      <w:pPr>
        <w:pStyle w:val="Code"/>
      </w:pPr>
      <w:r>
        <w:t xml:space="preserve">  "version": 1</w:t>
      </w:r>
    </w:p>
    <w:p>
      <w:pPr>
        <w:pStyle w:val="Code"/>
      </w:pPr>
      <w:r>
        <w:t>}</w:t>
      </w:r>
    </w:p>
    <w:p>
      <w:pPr>
        <w:pStyle w:val="Heading2"/>
      </w:pPr>
      <w:r>
        <w:t>Errors and updates</w:t>
      </w:r>
    </w:p>
    <w:p>
      <w:r>
        <w:rPr>
          <w:b w:val="0"/>
        </w:rPr>
      </w:r>
      <w:r>
        <w:rPr>
          <w:b/>
        </w:rPr>
        <w:t>API-06</w:t>
      </w:r>
      <w:r>
        <w:rPr>
          <w:b w:val="0"/>
        </w:rPr>
        <w:t xml:space="preserve"> Business error codes shall include SLOT_UNAVAILABLE, HOLD_EXPIRED, OFFER_INELIGIBLE, OFFER_LIMIT_REACHED, PRICE_CHANGED, PROFILE_NOT_BOOKABLE, POLICY_CUTOFF_PASSED and VERSION_CONFLICT. If a quote changes, return a new quote for explicit acceptance; never silently confirm at a higher fee.</w:t>
      </w:r>
    </w:p>
    <w:p>
      <w:r>
        <w:rPr>
          <w:b w:val="0"/>
        </w:rPr>
      </w:r>
      <w:r>
        <w:rPr>
          <w:b/>
        </w:rPr>
        <w:t>API-07</w:t>
      </w:r>
      <w:r>
        <w:rPr>
          <w:b w:val="0"/>
        </w:rPr>
        <w:t xml:space="preserve"> Mutations of existing bookings shall require expectedVersion. A conflict response returns the permitted current representation for reload. Tokens and raw exception messages shall not appear in error bodies. A timed out confirmation must be recoverable using its idempotency key.</w:t>
      </w:r>
    </w:p>
    <w:p>
      <w:pPr>
        <w:pStyle w:val="Heading2"/>
      </w:pPr>
      <w:r>
        <w:t>Domain events</w:t>
      </w:r>
    </w:p>
    <w:p>
      <w:r>
        <w:rPr>
          <w:b w:val="0"/>
        </w:rPr>
      </w:r>
      <w:r>
        <w:rPr>
          <w:b/>
        </w:rPr>
        <w:t>API-08</w:t>
      </w:r>
      <w:r>
        <w:rPr>
          <w:b w:val="0"/>
        </w:rPr>
        <w:t xml:space="preserve"> Event envelopes shall include eventId, eventType, schemaVersion, occurredAt, aggregateId, aggregateVersion and correlationId. Payloads contain the minimum fields needed by consumers. Publish booking.confirmed, booking.rescheduled, booking.cancelled, booking.completed, profile.published, profile.suspended, verification.decided and offer.changed.</w:t>
      </w:r>
    </w:p>
    <w:p>
      <w:r>
        <w:rPr>
          <w:b w:val="0"/>
        </w:rPr>
      </w:r>
      <w:r>
        <w:rPr>
          <w:b/>
        </w:rPr>
        <w:t>API-09</w:t>
      </w:r>
      <w:r>
        <w:rPr>
          <w:b w:val="0"/>
        </w:rPr>
        <w:t xml:space="preserve"> Consumers shall record processed event IDs and reject or park unsupported schema versions. A reminder consumer shall recheck the aggregate version before delivery. Failed messages shall be replayable from a dead letter queue with an audit entry. Email and SMS are delivered at least once at the infrastructure level; application deduplication reduces repeated messages.</w:t>
      </w:r>
    </w:p>
    <w:p>
      <w:r>
        <w:rPr>
          <w:b w:val="0"/>
        </w:rPr>
      </w:r>
      <w:r>
        <w:rPr>
          <w:b/>
        </w:rPr>
        <w:t>API-10 R2</w:t>
      </w:r>
      <w:r>
        <w:rPr>
          <w:b w:val="0"/>
        </w:rPr>
        <w:t xml:space="preserve"> Webhook processing shall verify the raw request signature, enforce replay policy, persist the event before acknowledgement, and reconcile asynchronous status against gateway records. Refund jobs shall use their own idempotency keys and retain approval and failure history.</w:t>
      </w:r>
    </w:p>
    <w:p>
      <w:pPr>
        <w:pStyle w:val="Heading1"/>
      </w:pPr>
      <w:r>
        <w:t>26 Security and privacy requirements</w:t>
      </w:r>
    </w:p>
    <w:p>
      <w:pPr>
        <w:pStyle w:val="Heading2"/>
      </w:pPr>
      <w:r>
        <w:t>Application security</w:t>
      </w:r>
    </w:p>
    <w:p>
      <w:r>
        <w:rPr>
          <w:b w:val="0"/>
        </w:rPr>
      </w:r>
      <w:r>
        <w:rPr>
          <w:b/>
        </w:rPr>
        <w:t>SEC-01</w:t>
      </w:r>
      <w:r>
        <w:rPr>
          <w:b w:val="0"/>
        </w:rPr>
        <w:t xml:space="preserve"> Use HTTPS, secure HTTP only session cookies where appropriate, CSRF protection for cookie authenticated mutations, output escaping, parameterised SQL and restrictive content security policy. Validate redirects, file paths and outbound URL fetches. No user supplied URL may become an unrestricted server side fetch.</w:t>
      </w:r>
    </w:p>
    <w:p>
      <w:r>
        <w:rPr>
          <w:b w:val="0"/>
        </w:rPr>
      </w:r>
      <w:r>
        <w:rPr>
          <w:b/>
        </w:rPr>
        <w:t>SEC-02</w:t>
      </w:r>
      <w:r>
        <w:rPr>
          <w:b w:val="0"/>
        </w:rPr>
        <w:t xml:space="preserve"> Require MFA for administrators and offer it to practitioners. Proposed privileged idle timeout is 30 minutes, with reauthentication for sensitive actions. Rotate secrets through a secret manager; never place database, gateway or messaging keys in frontend bundles or logs.</w:t>
      </w:r>
    </w:p>
    <w:p>
      <w:r>
        <w:rPr>
          <w:b w:val="0"/>
        </w:rPr>
      </w:r>
      <w:r>
        <w:rPr>
          <w:b/>
        </w:rPr>
        <w:t>SEC-03</w:t>
      </w:r>
      <w:r>
        <w:rPr>
          <w:b w:val="0"/>
        </w:rPr>
        <w:t xml:space="preserve"> Apply deny by default server authorisation and row or policy level database protections as defence in depth. Any database RLS context must be set and consumed within the same transaction using a tested pooling compatible pattern. The runtime role shall not bypass those policies. Test tenant isolation rather than assuming UUIDs prevent access.</w:t>
      </w:r>
    </w:p>
    <w:p>
      <w:r>
        <w:rPr>
          <w:b w:val="0"/>
        </w:rPr>
      </w:r>
      <w:r>
        <w:rPr>
          <w:b/>
        </w:rPr>
        <w:t>SEC-04</w:t>
      </w:r>
      <w:r>
        <w:rPr>
          <w:b w:val="0"/>
        </w:rPr>
        <w:t xml:space="preserve"> Validate MIME signatures, permitted extensions and size on upload; proposed limits are 5 MB per public image and 10 MB per private PDF or image. Reject active content. Quarantine and scan before use. Private documents require short lived signed URLs, proposed five minutes, issued only after a fresh access check.</w:t>
      </w:r>
    </w:p>
    <w:p>
      <w:r>
        <w:rPr>
          <w:b w:val="0"/>
        </w:rPr>
      </w:r>
      <w:r>
        <w:rPr>
          <w:b/>
        </w:rPr>
        <w:t>SEC-05</w:t>
      </w:r>
      <w:r>
        <w:rPr>
          <w:b w:val="0"/>
        </w:rPr>
        <w:t xml:space="preserve"> Rate limit login, search scraping, claims, holds, bookings and exports. Bound outstanding holds per account and investigate repeated abandonment. Detect anomalous administrative access. Audit failed privileged actions without recording OTPs, authentication tokens or full private payloads.</w:t>
      </w:r>
    </w:p>
    <w:p>
      <w:pPr>
        <w:pStyle w:val="Heading2"/>
      </w:pPr>
      <w:r>
        <w:t>Privacy by design</w:t>
      </w:r>
    </w:p>
    <w:p>
      <w:r>
        <w:rPr>
          <w:b w:val="0"/>
        </w:rPr>
      </w:r>
      <w:r>
        <w:rPr>
          <w:b/>
        </w:rPr>
        <w:t>SEC-06</w:t>
      </w:r>
      <w:r>
        <w:rPr>
          <w:b w:val="0"/>
        </w:rPr>
        <w:t xml:space="preserve"> Publish clear purpose specific notices. Record the relevant notice version and consent where applicable. Separate account operation, public profile publication, dependent booking and marketing choices. Withdrawal shall be actionable and shall explain consequences for outstanding bookings.</w:t>
      </w:r>
    </w:p>
    <w:p>
      <w:r>
        <w:rPr>
          <w:b w:val="0"/>
        </w:rPr>
      </w:r>
      <w:r>
        <w:rPr>
          <w:b/>
        </w:rPr>
        <w:t>SEC-07</w:t>
      </w:r>
      <w:r>
        <w:rPr>
          <w:b w:val="0"/>
        </w:rPr>
        <w:t xml:space="preserve"> Implement authenticated access, correction, erasure and grievance requests with status, ownership and resolution history. Account deletion must cover database records, search projections, objects, exports and downstream systems subject to approved retention or legal holds. A soft delete flag alone is not erasure.</w:t>
      </w:r>
    </w:p>
    <w:p>
      <w:r>
        <w:rPr>
          <w:b w:val="0"/>
        </w:rPr>
      </w:r>
      <w:r>
        <w:rPr>
          <w:b/>
        </w:rPr>
        <w:t>SEC-08</w:t>
      </w:r>
      <w:r>
        <w:rPr>
          <w:b w:val="0"/>
        </w:rPr>
        <w:t xml:space="preserve"> Restrict patient contact, appointment reasons, guardian proofs and credential evidence by purpose and role. Do not collect Aadhaar copies merely because an external enrolment portal uses Aadhaar. Professional registration evidence and identity proof are separate requirements.</w:t>
      </w:r>
    </w:p>
    <w:p>
      <w:pPr>
        <w:pStyle w:val="Heading2"/>
      </w:pPr>
      <w:r>
        <w:t>Regulatory implementation gate</w:t>
      </w:r>
    </w:p>
    <w:p>
      <w:r>
        <w:rPr>
          <w:b w:val="0"/>
        </w:rPr>
        <w:t>The notified DPDP framework has phased commencement, with different provisions taking effect immediately, after one year and after eighteen months. The launch owner shall confirm which obligations apply on the actual release date [S2, S3]. The requirements above are product controls to build from the outset, not a claim that every provision is already operative or that software alone establishes compliance. Validate professional registration, promotional offers, consumer terms and provider contracts with qualified Indian counsel before publication.</w:t>
      </w:r>
    </w:p>
    <w:p>
      <w:pPr>
        <w:pStyle w:val="Heading1"/>
      </w:pPr>
      <w:r>
        <w:t>27 Quality and data retention targets</w:t>
      </w:r>
    </w:p>
    <w:p>
      <w:pPr>
        <w:pStyle w:val="Heading2"/>
      </w:pPr>
      <w:r>
        <w:t>Measurable nonfunctional requirements</w:t>
      </w:r>
    </w:p>
    <w:p>
      <w:r>
        <w:rPr>
          <w:b w:val="0"/>
        </w:rPr>
        <w:t>These are proposed engineering acceptance targets, not observed performance or guaranteed third party service levels. Validate them on the agreed production sized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3802"/>
        <w:gridCol w:w="5328"/>
      </w:tblGrid>
      <w:tr>
        <w:trPr>
          <w:cantSplit/>
          <w:tblHeader/>
        </w:trPr>
        <w:tc>
          <w:tcPr>
            <w:tcW w:type="dxa" w:w="1037"/>
            <w:vAlign w:val="center"/>
            <w:shd w:fill="183B4E"/>
            <w:tcMar>
              <w:top w:w="85" w:type="dxa"/>
              <w:left w:w="85" w:type="dxa"/>
              <w:bottom w:w="85" w:type="dxa"/>
              <w:right w:w="85" w:type="dxa"/>
            </w:tcMar>
          </w:tcPr>
          <w:p>
            <w:pPr>
              <w:spacing w:after="20" w:line="245" w:lineRule="auto"/>
            </w:pPr>
            <w:r>
              <w:rPr>
                <w:b/>
                <w:color w:val="FFFFFF"/>
                <w:sz w:val="20"/>
              </w:rPr>
              <w:t>ID</w:t>
            </w:r>
          </w:p>
        </w:tc>
        <w:tc>
          <w:tcPr>
            <w:tcW w:type="dxa" w:w="3802"/>
            <w:vAlign w:val="center"/>
            <w:shd w:fill="183B4E"/>
            <w:tcMar>
              <w:top w:w="85" w:type="dxa"/>
              <w:left w:w="85" w:type="dxa"/>
              <w:bottom w:w="85" w:type="dxa"/>
              <w:right w:w="85" w:type="dxa"/>
            </w:tcMar>
          </w:tcPr>
          <w:p>
            <w:pPr>
              <w:spacing w:after="20" w:line="245" w:lineRule="auto"/>
            </w:pPr>
            <w:r>
              <w:rPr>
                <w:b/>
                <w:color w:val="FFFFFF"/>
                <w:sz w:val="20"/>
              </w:rPr>
              <w:t>Target</w:t>
            </w:r>
          </w:p>
        </w:tc>
        <w:tc>
          <w:tcPr>
            <w:tcW w:type="dxa" w:w="5328"/>
            <w:vAlign w:val="center"/>
            <w:shd w:fill="183B4E"/>
            <w:tcMar>
              <w:top w:w="85" w:type="dxa"/>
              <w:left w:w="85" w:type="dxa"/>
              <w:bottom w:w="85" w:type="dxa"/>
              <w:right w:w="85" w:type="dxa"/>
            </w:tcMar>
          </w:tcPr>
          <w:p>
            <w:pPr>
              <w:spacing w:after="20" w:line="245" w:lineRule="auto"/>
            </w:pPr>
            <w:r>
              <w:rPr>
                <w:b/>
                <w:color w:val="FFFFFF"/>
                <w:sz w:val="20"/>
              </w:rPr>
              <w:t>Measurement and acceptance</w:t>
            </w:r>
          </w:p>
        </w:tc>
      </w:tr>
      <w:tr>
        <w:trPr>
          <w:cantSplit/>
        </w:trPr>
        <w:tc>
          <w:tcPr>
            <w:tcW w:type="dxa" w:w="1037"/>
            <w:vAlign w:val="center"/>
            <w:shd w:fill="FFFFFF"/>
            <w:tcMar>
              <w:top w:w="85" w:type="dxa"/>
              <w:left w:w="85" w:type="dxa"/>
              <w:bottom w:w="85" w:type="dxa"/>
              <w:right w:w="85" w:type="dxa"/>
            </w:tcMar>
          </w:tcPr>
          <w:p>
            <w:pPr>
              <w:spacing w:after="20" w:line="245" w:lineRule="auto"/>
            </w:pPr>
            <w:r>
              <w:rPr>
                <w:b w:val="0"/>
                <w:sz w:val="20"/>
              </w:rPr>
              <w:t>NFR-01</w:t>
            </w:r>
          </w:p>
        </w:tc>
        <w:tc>
          <w:tcPr>
            <w:tcW w:type="dxa" w:w="3802"/>
            <w:vAlign w:val="center"/>
            <w:shd w:fill="FFFFFF"/>
            <w:tcMar>
              <w:top w:w="85" w:type="dxa"/>
              <w:left w:w="85" w:type="dxa"/>
              <w:bottom w:w="85" w:type="dxa"/>
              <w:right w:w="85" w:type="dxa"/>
            </w:tcMar>
          </w:tcPr>
          <w:p>
            <w:pPr>
              <w:spacing w:after="20" w:line="245" w:lineRule="auto"/>
            </w:pPr>
            <w:r>
              <w:rPr>
                <w:b w:val="0"/>
                <w:sz w:val="20"/>
              </w:rPr>
              <w:t>99.9 percent monthly core availability</w:t>
            </w:r>
          </w:p>
        </w:tc>
        <w:tc>
          <w:tcPr>
            <w:tcW w:type="dxa" w:w="5328"/>
            <w:vAlign w:val="center"/>
            <w:shd w:fill="FFFFFF"/>
            <w:tcMar>
              <w:top w:w="85" w:type="dxa"/>
              <w:left w:w="85" w:type="dxa"/>
              <w:bottom w:w="85" w:type="dxa"/>
              <w:right w:w="85" w:type="dxa"/>
            </w:tcMar>
          </w:tcPr>
          <w:p>
            <w:pPr>
              <w:spacing w:after="20" w:line="245" w:lineRule="auto"/>
            </w:pPr>
            <w:r>
              <w:rPr>
                <w:b w:val="0"/>
                <w:sz w:val="20"/>
              </w:rPr>
              <w:t>Synthetic public search and booking checks; include planned maintenance in the reported measure</w:t>
            </w:r>
          </w:p>
        </w:tc>
      </w:tr>
      <w:tr>
        <w:trPr>
          <w:cantSplit/>
        </w:trPr>
        <w:tc>
          <w:tcPr>
            <w:tcW w:type="dxa" w:w="1037"/>
            <w:vAlign w:val="center"/>
            <w:shd w:fill="F0F4F6"/>
            <w:tcMar>
              <w:top w:w="85" w:type="dxa"/>
              <w:left w:w="85" w:type="dxa"/>
              <w:bottom w:w="85" w:type="dxa"/>
              <w:right w:w="85" w:type="dxa"/>
            </w:tcMar>
          </w:tcPr>
          <w:p>
            <w:pPr>
              <w:spacing w:after="20" w:line="245" w:lineRule="auto"/>
            </w:pPr>
            <w:r>
              <w:rPr>
                <w:b w:val="0"/>
                <w:sz w:val="20"/>
              </w:rPr>
              <w:t>NFR-02</w:t>
            </w:r>
          </w:p>
        </w:tc>
        <w:tc>
          <w:tcPr>
            <w:tcW w:type="dxa" w:w="3802"/>
            <w:vAlign w:val="center"/>
            <w:shd w:fill="F0F4F6"/>
            <w:tcMar>
              <w:top w:w="85" w:type="dxa"/>
              <w:left w:w="85" w:type="dxa"/>
              <w:bottom w:w="85" w:type="dxa"/>
              <w:right w:w="85" w:type="dxa"/>
            </w:tcMar>
          </w:tcPr>
          <w:p>
            <w:pPr>
              <w:spacing w:after="20" w:line="245" w:lineRule="auto"/>
            </w:pPr>
            <w:r>
              <w:rPr>
                <w:b w:val="0"/>
                <w:sz w:val="20"/>
              </w:rPr>
              <w:t>Public page LCP ≤2.5 s, INP ≤200 ms, CLS ≤0.1</w:t>
            </w:r>
          </w:p>
        </w:tc>
        <w:tc>
          <w:tcPr>
            <w:tcW w:type="dxa" w:w="5328"/>
            <w:vAlign w:val="center"/>
            <w:shd w:fill="F0F4F6"/>
            <w:tcMar>
              <w:top w:w="85" w:type="dxa"/>
              <w:left w:w="85" w:type="dxa"/>
              <w:bottom w:w="85" w:type="dxa"/>
              <w:right w:w="85" w:type="dxa"/>
            </w:tcMar>
          </w:tcPr>
          <w:p>
            <w:pPr>
              <w:spacing w:after="20" w:line="245" w:lineRule="auto"/>
            </w:pPr>
            <w:r>
              <w:rPr>
                <w:b w:val="0"/>
                <w:sz w:val="20"/>
              </w:rPr>
              <w:t>75th percentile mobile field data when available; use documented lab checks before traffic exists</w:t>
            </w:r>
          </w:p>
        </w:tc>
      </w:tr>
      <w:tr>
        <w:trPr>
          <w:cantSplit/>
        </w:trPr>
        <w:tc>
          <w:tcPr>
            <w:tcW w:type="dxa" w:w="1037"/>
            <w:vAlign w:val="center"/>
            <w:shd w:fill="FFFFFF"/>
            <w:tcMar>
              <w:top w:w="85" w:type="dxa"/>
              <w:left w:w="85" w:type="dxa"/>
              <w:bottom w:w="85" w:type="dxa"/>
              <w:right w:w="85" w:type="dxa"/>
            </w:tcMar>
          </w:tcPr>
          <w:p>
            <w:pPr>
              <w:spacing w:after="20" w:line="245" w:lineRule="auto"/>
            </w:pPr>
            <w:r>
              <w:rPr>
                <w:b w:val="0"/>
                <w:sz w:val="20"/>
              </w:rPr>
              <w:t>NFR-03</w:t>
            </w:r>
          </w:p>
        </w:tc>
        <w:tc>
          <w:tcPr>
            <w:tcW w:type="dxa" w:w="3802"/>
            <w:vAlign w:val="center"/>
            <w:shd w:fill="FFFFFF"/>
            <w:tcMar>
              <w:top w:w="85" w:type="dxa"/>
              <w:left w:w="85" w:type="dxa"/>
              <w:bottom w:w="85" w:type="dxa"/>
              <w:right w:w="85" w:type="dxa"/>
            </w:tcMar>
          </w:tcPr>
          <w:p>
            <w:pPr>
              <w:spacing w:after="20" w:line="245" w:lineRule="auto"/>
            </w:pPr>
            <w:r>
              <w:rPr>
                <w:b w:val="0"/>
                <w:sz w:val="20"/>
              </w:rPr>
              <w:t>Search p95 ≤800 ms; slot query p95 ≤700 ms; booking commit p95 ≤1.5 s</w:t>
            </w:r>
          </w:p>
        </w:tc>
        <w:tc>
          <w:tcPr>
            <w:tcW w:type="dxa" w:w="5328"/>
            <w:vAlign w:val="center"/>
            <w:shd w:fill="FFFFFF"/>
            <w:tcMar>
              <w:top w:w="85" w:type="dxa"/>
              <w:left w:w="85" w:type="dxa"/>
              <w:bottom w:w="85" w:type="dxa"/>
              <w:right w:w="85" w:type="dxa"/>
            </w:tcMar>
          </w:tcPr>
          <w:p>
            <w:pPr>
              <w:spacing w:after="20" w:line="245" w:lineRule="auto"/>
            </w:pPr>
            <w:r>
              <w:rPr>
                <w:b w:val="0"/>
                <w:sz w:val="20"/>
              </w:rPr>
              <w:t>Server response under defined load, excluding OTP or vendor delivery; record cold and warm behaviour</w:t>
            </w:r>
          </w:p>
        </w:tc>
      </w:tr>
      <w:tr>
        <w:trPr>
          <w:cantSplit/>
        </w:trPr>
        <w:tc>
          <w:tcPr>
            <w:tcW w:type="dxa" w:w="1037"/>
            <w:vAlign w:val="center"/>
            <w:shd w:fill="F0F4F6"/>
            <w:tcMar>
              <w:top w:w="85" w:type="dxa"/>
              <w:left w:w="85" w:type="dxa"/>
              <w:bottom w:w="85" w:type="dxa"/>
              <w:right w:w="85" w:type="dxa"/>
            </w:tcMar>
          </w:tcPr>
          <w:p>
            <w:pPr>
              <w:spacing w:after="20" w:line="245" w:lineRule="auto"/>
            </w:pPr>
            <w:r>
              <w:rPr>
                <w:b w:val="0"/>
                <w:sz w:val="20"/>
              </w:rPr>
              <w:t>NFR-04</w:t>
            </w:r>
          </w:p>
        </w:tc>
        <w:tc>
          <w:tcPr>
            <w:tcW w:type="dxa" w:w="3802"/>
            <w:vAlign w:val="center"/>
            <w:shd w:fill="F0F4F6"/>
            <w:tcMar>
              <w:top w:w="85" w:type="dxa"/>
              <w:left w:w="85" w:type="dxa"/>
              <w:bottom w:w="85" w:type="dxa"/>
              <w:right w:w="85" w:type="dxa"/>
            </w:tcMar>
          </w:tcPr>
          <w:p>
            <w:pPr>
              <w:spacing w:after="20" w:line="245" w:lineRule="auto"/>
            </w:pPr>
            <w:r>
              <w:rPr>
                <w:b w:val="0"/>
                <w:sz w:val="20"/>
              </w:rPr>
              <w:t>100000 profiles, 20000 branches, 1000000 historical bookings</w:t>
            </w:r>
          </w:p>
        </w:tc>
        <w:tc>
          <w:tcPr>
            <w:tcW w:type="dxa" w:w="5328"/>
            <w:vAlign w:val="center"/>
            <w:shd w:fill="F0F4F6"/>
            <w:tcMar>
              <w:top w:w="85" w:type="dxa"/>
              <w:left w:w="85" w:type="dxa"/>
              <w:bottom w:w="85" w:type="dxa"/>
              <w:right w:w="85" w:type="dxa"/>
            </w:tcMar>
          </w:tcPr>
          <w:p>
            <w:pPr>
              <w:spacing w:after="20" w:line="245" w:lineRule="auto"/>
            </w:pPr>
            <w:r>
              <w:rPr>
                <w:b w:val="0"/>
                <w:sz w:val="20"/>
              </w:rPr>
              <w:t>Synthetic sizing dataset, not a claim of existing market coverage</w:t>
            </w:r>
          </w:p>
        </w:tc>
      </w:tr>
      <w:tr>
        <w:trPr>
          <w:cantSplit/>
        </w:trPr>
        <w:tc>
          <w:tcPr>
            <w:tcW w:type="dxa" w:w="1037"/>
            <w:vAlign w:val="center"/>
            <w:shd w:fill="FFFFFF"/>
            <w:tcMar>
              <w:top w:w="85" w:type="dxa"/>
              <w:left w:w="85" w:type="dxa"/>
              <w:bottom w:w="85" w:type="dxa"/>
              <w:right w:w="85" w:type="dxa"/>
            </w:tcMar>
          </w:tcPr>
          <w:p>
            <w:pPr>
              <w:spacing w:after="20" w:line="245" w:lineRule="auto"/>
            </w:pPr>
            <w:r>
              <w:rPr>
                <w:b w:val="0"/>
                <w:sz w:val="20"/>
              </w:rPr>
              <w:t>NFR-05</w:t>
            </w:r>
          </w:p>
        </w:tc>
        <w:tc>
          <w:tcPr>
            <w:tcW w:type="dxa" w:w="3802"/>
            <w:vAlign w:val="center"/>
            <w:shd w:fill="FFFFFF"/>
            <w:tcMar>
              <w:top w:w="85" w:type="dxa"/>
              <w:left w:w="85" w:type="dxa"/>
              <w:bottom w:w="85" w:type="dxa"/>
              <w:right w:w="85" w:type="dxa"/>
            </w:tcMar>
          </w:tcPr>
          <w:p>
            <w:pPr>
              <w:spacing w:after="20" w:line="245" w:lineRule="auto"/>
            </w:pPr>
            <w:r>
              <w:rPr>
                <w:b w:val="0"/>
                <w:sz w:val="20"/>
              </w:rPr>
              <w:t>100 read requests per second plus 10 booking mutations per second for 30 minutes</w:t>
            </w:r>
          </w:p>
        </w:tc>
        <w:tc>
          <w:tcPr>
            <w:tcW w:type="dxa" w:w="5328"/>
            <w:vAlign w:val="center"/>
            <w:shd w:fill="FFFFFF"/>
            <w:tcMar>
              <w:top w:w="85" w:type="dxa"/>
              <w:left w:w="85" w:type="dxa"/>
              <w:bottom w:w="85" w:type="dxa"/>
              <w:right w:w="85" w:type="dxa"/>
            </w:tcMar>
          </w:tcPr>
          <w:p>
            <w:pPr>
              <w:spacing w:after="20" w:line="245" w:lineRule="auto"/>
            </w:pPr>
            <w:r>
              <w:rPr>
                <w:b w:val="0"/>
                <w:sz w:val="20"/>
              </w:rPr>
              <w:t>Production like load; error rate below 1 percent excluding intentional business conflicts; zero overlapping confirmed bookings</w:t>
            </w:r>
          </w:p>
        </w:tc>
      </w:tr>
      <w:tr>
        <w:trPr>
          <w:cantSplit/>
        </w:trPr>
        <w:tc>
          <w:tcPr>
            <w:tcW w:type="dxa" w:w="1037"/>
            <w:vAlign w:val="center"/>
            <w:shd w:fill="F0F4F6"/>
            <w:tcMar>
              <w:top w:w="85" w:type="dxa"/>
              <w:left w:w="85" w:type="dxa"/>
              <w:bottom w:w="85" w:type="dxa"/>
              <w:right w:w="85" w:type="dxa"/>
            </w:tcMar>
          </w:tcPr>
          <w:p>
            <w:pPr>
              <w:spacing w:after="20" w:line="245" w:lineRule="auto"/>
            </w:pPr>
            <w:r>
              <w:rPr>
                <w:b w:val="0"/>
                <w:sz w:val="20"/>
              </w:rPr>
              <w:t>NFR-06</w:t>
            </w:r>
          </w:p>
        </w:tc>
        <w:tc>
          <w:tcPr>
            <w:tcW w:type="dxa" w:w="3802"/>
            <w:vAlign w:val="center"/>
            <w:shd w:fill="F0F4F6"/>
            <w:tcMar>
              <w:top w:w="85" w:type="dxa"/>
              <w:left w:w="85" w:type="dxa"/>
              <w:bottom w:w="85" w:type="dxa"/>
              <w:right w:w="85" w:type="dxa"/>
            </w:tcMar>
          </w:tcPr>
          <w:p>
            <w:pPr>
              <w:spacing w:after="20" w:line="245" w:lineRule="auto"/>
            </w:pPr>
            <w:r>
              <w:rPr>
                <w:b w:val="0"/>
                <w:sz w:val="20"/>
              </w:rPr>
              <w:t>WCAG 2.2 AA target</w:t>
            </w:r>
          </w:p>
        </w:tc>
        <w:tc>
          <w:tcPr>
            <w:tcW w:type="dxa" w:w="5328"/>
            <w:vAlign w:val="center"/>
            <w:shd w:fill="F0F4F6"/>
            <w:tcMar>
              <w:top w:w="85" w:type="dxa"/>
              <w:left w:w="85" w:type="dxa"/>
              <w:bottom w:w="85" w:type="dxa"/>
              <w:right w:w="85" w:type="dxa"/>
            </w:tcMar>
          </w:tcPr>
          <w:p>
            <w:pPr>
              <w:spacing w:after="20" w:line="245" w:lineRule="auto"/>
            </w:pPr>
            <w:r>
              <w:rPr>
                <w:b w:val="0"/>
                <w:sz w:val="20"/>
              </w:rPr>
              <w:t>Automated checks plus manual keyboard, focus, screen reader, error messaging and calendar tests [S9]</w:t>
            </w:r>
          </w:p>
        </w:tc>
      </w:tr>
      <w:tr>
        <w:trPr>
          <w:cantSplit/>
        </w:trPr>
        <w:tc>
          <w:tcPr>
            <w:tcW w:type="dxa" w:w="1037"/>
            <w:vAlign w:val="center"/>
            <w:shd w:fill="FFFFFF"/>
            <w:tcMar>
              <w:top w:w="85" w:type="dxa"/>
              <w:left w:w="85" w:type="dxa"/>
              <w:bottom w:w="85" w:type="dxa"/>
              <w:right w:w="85" w:type="dxa"/>
            </w:tcMar>
          </w:tcPr>
          <w:p>
            <w:pPr>
              <w:spacing w:after="20" w:line="245" w:lineRule="auto"/>
            </w:pPr>
            <w:r>
              <w:rPr>
                <w:b w:val="0"/>
                <w:sz w:val="20"/>
              </w:rPr>
              <w:t>NFR-07</w:t>
            </w:r>
          </w:p>
        </w:tc>
        <w:tc>
          <w:tcPr>
            <w:tcW w:type="dxa" w:w="3802"/>
            <w:vAlign w:val="center"/>
            <w:shd w:fill="FFFFFF"/>
            <w:tcMar>
              <w:top w:w="85" w:type="dxa"/>
              <w:left w:w="85" w:type="dxa"/>
              <w:bottom w:w="85" w:type="dxa"/>
              <w:right w:w="85" w:type="dxa"/>
            </w:tcMar>
          </w:tcPr>
          <w:p>
            <w:pPr>
              <w:spacing w:after="20" w:line="245" w:lineRule="auto"/>
            </w:pPr>
            <w:r>
              <w:rPr>
                <w:b w:val="0"/>
                <w:sz w:val="20"/>
              </w:rPr>
              <w:t>Responsive at 360, 768, 1024 and 1440 CSS pixels</w:t>
            </w:r>
          </w:p>
        </w:tc>
        <w:tc>
          <w:tcPr>
            <w:tcW w:type="dxa" w:w="5328"/>
            <w:vAlign w:val="center"/>
            <w:shd w:fill="FFFFFF"/>
            <w:tcMar>
              <w:top w:w="85" w:type="dxa"/>
              <w:left w:w="85" w:type="dxa"/>
              <w:bottom w:w="85" w:type="dxa"/>
              <w:right w:w="85" w:type="dxa"/>
            </w:tcMar>
          </w:tcPr>
          <w:p>
            <w:pPr>
              <w:spacing w:after="20" w:line="245" w:lineRule="auto"/>
            </w:pPr>
            <w:r>
              <w:rPr>
                <w:b w:val="0"/>
                <w:sz w:val="20"/>
              </w:rPr>
              <w:t>No unintended horizontal scroll; latest two major browser versions and real mobile spot checks</w:t>
            </w:r>
          </w:p>
        </w:tc>
      </w:tr>
      <w:tr>
        <w:trPr>
          <w:cantSplit/>
        </w:trPr>
        <w:tc>
          <w:tcPr>
            <w:tcW w:type="dxa" w:w="1037"/>
            <w:vAlign w:val="center"/>
            <w:shd w:fill="F0F4F6"/>
            <w:tcMar>
              <w:top w:w="85" w:type="dxa"/>
              <w:left w:w="85" w:type="dxa"/>
              <w:bottom w:w="85" w:type="dxa"/>
              <w:right w:w="85" w:type="dxa"/>
            </w:tcMar>
          </w:tcPr>
          <w:p>
            <w:pPr>
              <w:spacing w:after="20" w:line="245" w:lineRule="auto"/>
            </w:pPr>
            <w:r>
              <w:rPr>
                <w:b w:val="0"/>
                <w:sz w:val="20"/>
              </w:rPr>
              <w:t>NFR-08</w:t>
            </w:r>
          </w:p>
        </w:tc>
        <w:tc>
          <w:tcPr>
            <w:tcW w:type="dxa" w:w="3802"/>
            <w:vAlign w:val="center"/>
            <w:shd w:fill="F0F4F6"/>
            <w:tcMar>
              <w:top w:w="85" w:type="dxa"/>
              <w:left w:w="85" w:type="dxa"/>
              <w:bottom w:w="85" w:type="dxa"/>
              <w:right w:w="85" w:type="dxa"/>
            </w:tcMar>
          </w:tcPr>
          <w:p>
            <w:pPr>
              <w:spacing w:after="20" w:line="245" w:lineRule="auto"/>
            </w:pPr>
            <w:r>
              <w:rPr>
                <w:b w:val="0"/>
                <w:sz w:val="20"/>
              </w:rPr>
              <w:t>RPO ≤15 minutes and RTO ≤4 hours</w:t>
            </w:r>
          </w:p>
        </w:tc>
        <w:tc>
          <w:tcPr>
            <w:tcW w:type="dxa" w:w="5328"/>
            <w:vAlign w:val="center"/>
            <w:shd w:fill="F0F4F6"/>
            <w:tcMar>
              <w:top w:w="85" w:type="dxa"/>
              <w:left w:w="85" w:type="dxa"/>
              <w:bottom w:w="85" w:type="dxa"/>
              <w:right w:w="85" w:type="dxa"/>
            </w:tcMar>
          </w:tcPr>
          <w:p>
            <w:pPr>
              <w:spacing w:after="20" w:line="245" w:lineRule="auto"/>
            </w:pPr>
            <w:r>
              <w:rPr>
                <w:b w:val="0"/>
                <w:sz w:val="20"/>
              </w:rPr>
              <w:t>Demonstrated restore and recovery rehearsal; purchased hosting plan must support the design</w:t>
            </w:r>
          </w:p>
        </w:tc>
      </w:tr>
    </w:tbl>
    <w:p>
      <w:pPr>
        <w:spacing w:after="0" w:line="60" w:lineRule="exact"/>
      </w:pPr>
      <w:r>
        <w:rPr>
          <w:sz w:val="6"/>
        </w:rPr>
      </w:r>
    </w:p>
    <w:p>
      <w:pPr>
        <w:pStyle w:val="Heading2"/>
      </w:pPr>
      <w:r>
        <w:t>Proposed retention schedule</w:t>
      </w:r>
    </w:p>
    <w:p>
      <w:r>
        <w:rPr>
          <w:b w:val="0"/>
        </w:rPr>
      </w:r>
      <w:r>
        <w:rPr>
          <w:b/>
        </w:rPr>
        <w:t>SEC-09</w:t>
      </w:r>
      <w:r>
        <w:rPr>
          <w:b w:val="0"/>
        </w:rPr>
        <w:t xml:space="preserve"> Configure a documented retention basis, deletion job, exception owner and legal hold process for each data class. The periods below are proposed operational defaults, not statutory conclusions; confirm them before release and extend only for a recorded requirement.</w:t>
      </w:r>
    </w:p>
    <w:p>
      <w:pPr>
        <w:ind w:left="187" w:hanging="187"/>
      </w:pPr>
      <w:r>
        <w:rPr>
          <w:b w:val="0"/>
        </w:rPr>
        <w:t>• OTP challenges expire after five minutes; retain only minimal abuse metadata for 30 days. Purge unused registration drafts after 90 days with prior notice where contact is available.</w:t>
      </w:r>
    </w:p>
    <w:p>
      <w:pPr>
        <w:ind w:left="187" w:hanging="187"/>
      </w:pPr>
      <w:r>
        <w:rPr>
          <w:b w:val="0"/>
        </w:rPr>
        <w:t>• Keep booking operational records for 24 months after the last appointment, then anonymise or remove data no longer needed. Resolve disputes and future financial record requirements through separate retention classes.</w:t>
      </w:r>
    </w:p>
    <w:p>
      <w:pPr>
        <w:ind w:left="187" w:hanging="187"/>
      </w:pPr>
      <w:r>
        <w:rPr>
          <w:b w:val="0"/>
        </w:rPr>
        <w:t>• Retain credential evidence while the verified listing is active and for a proposed 90 days after closure unless a dispute or applicable requirement needs longer. Keep only necessary verification metadata thereafter.</w:t>
      </w:r>
    </w:p>
    <w:p>
      <w:pPr>
        <w:ind w:left="187" w:hanging="187"/>
      </w:pPr>
      <w:r>
        <w:rPr>
          <w:b w:val="0"/>
        </w:rPr>
        <w:t>• Retain access and application logs for a proposed 180 days, security audit evidence for 12 months and aggregate deidentified analytics for 24 months. Applicable incident and log requirements must be validated before these defaults are approved.</w:t>
      </w:r>
    </w:p>
    <w:p>
      <w:pPr>
        <w:ind w:left="187" w:hanging="187"/>
      </w:pPr>
      <w:r>
        <w:rPr>
          <w:b w:val="0"/>
        </w:rPr>
        <w:t>• Expire generated exports after 24 hours. Set a proposed 30 day encrypted backup cycle; reconcile this with the selected recovery plan. After restore, reapply deletion tombstones before reopening access so deleted data is not silently resurrected.</w:t>
      </w:r>
    </w:p>
    <w:p>
      <w:pPr>
        <w:pStyle w:val="Heading1"/>
      </w:pPr>
      <w:r>
        <w:t>28 Delivery deployment and operations</w:t>
      </w:r>
    </w:p>
    <w:p>
      <w:pPr>
        <w:pStyle w:val="Heading2"/>
      </w:pPr>
      <w:r>
        <w:t>Engineering deliverables</w:t>
      </w:r>
    </w:p>
    <w:p>
      <w:r>
        <w:rPr>
          <w:b w:val="0"/>
        </w:rPr>
      </w:r>
      <w:r>
        <w:rPr>
          <w:b/>
        </w:rPr>
        <w:t>OPS-01</w:t>
      </w:r>
      <w:r>
        <w:rPr>
          <w:b w:val="0"/>
        </w:rPr>
        <w:t xml:space="preserve"> The development team shall supply source code, deployment configuration, schema migrations, entity relationship documentation, OpenAPI contracts, automated tests, design components, operational runbooks and an administrator guide. All third party dependencies, paid services and recurring cost drivers shall be listed.</w:t>
      </w:r>
    </w:p>
    <w:p>
      <w:r>
        <w:rPr>
          <w:b w:val="0"/>
        </w:rPr>
      </w:r>
      <w:r>
        <w:rPr>
          <w:b/>
        </w:rPr>
        <w:t>OPS-02</w:t>
      </w:r>
      <w:r>
        <w:rPr>
          <w:b w:val="0"/>
        </w:rPr>
        <w:t xml:space="preserve"> The delivery pipeline shall lint and build code, run core unit and integration tests, validate migrations, scan dependencies and deploy to staging before production. Include accessible form and calendar tests and image or file access checks. Production credentials shall not exist in preview environments.</w:t>
      </w:r>
    </w:p>
    <w:p>
      <w:r>
        <w:rPr>
          <w:b w:val="0"/>
        </w:rPr>
      </w:r>
      <w:r>
        <w:rPr>
          <w:b/>
        </w:rPr>
        <w:t>OPS-03</w:t>
      </w:r>
      <w:r>
        <w:rPr>
          <w:b w:val="0"/>
        </w:rPr>
        <w:t xml:space="preserve"> Use feature flags for payments, new jurisdictions with unresolved eligibility policy, home visits, online consultations and external calendar sync. Flags shall have owners and audit history. A disabled feature must be rejected by the API as well as hidden in the interface.</w:t>
      </w:r>
    </w:p>
    <w:p>
      <w:pPr>
        <w:pStyle w:val="Heading2"/>
      </w:pPr>
      <w:r>
        <w:t>Observability and incident handling</w:t>
      </w:r>
    </w:p>
    <w:p>
      <w:r>
        <w:rPr>
          <w:b w:val="0"/>
        </w:rPr>
      </w:r>
      <w:r>
        <w:rPr>
          <w:b/>
        </w:rPr>
        <w:t>OPS-04</w:t>
      </w:r>
      <w:r>
        <w:rPr>
          <w:b w:val="0"/>
        </w:rPr>
        <w:t xml:space="preserve"> Correlate API requests, database changes, outbox events and provider messages through a request or correlation ID. Dashboards shall monitor booking success, conflict rate, hold expiry lag, pending outbox events, message failure, review queue ageing, API latency and database health. Keep health reasons and personal data out of telemetry.</w:t>
      </w:r>
    </w:p>
    <w:p>
      <w:r>
        <w:rPr>
          <w:b w:val="0"/>
        </w:rPr>
      </w:r>
      <w:r>
        <w:rPr>
          <w:b/>
        </w:rPr>
        <w:t>OPS-05</w:t>
      </w:r>
      <w:r>
        <w:rPr>
          <w:b w:val="0"/>
        </w:rPr>
        <w:t xml:space="preserve"> Proposed alerts include API error rate above 2 percent for five minutes, p95 booking latency over three seconds for ten minutes, oldest transactional outbox item over five minutes, expiry lag over two minutes and a failed backup or restore check. Assign an on call owner and an escalation route.</w:t>
      </w:r>
    </w:p>
    <w:p>
      <w:r>
        <w:rPr>
          <w:b w:val="0"/>
        </w:rPr>
      </w:r>
      <w:r>
        <w:rPr>
          <w:b/>
        </w:rPr>
        <w:t>OPS-06</w:t>
      </w:r>
      <w:r>
        <w:rPr>
          <w:b w:val="0"/>
        </w:rPr>
        <w:t xml:space="preserve"> Incident runbooks shall cover database outage, credential compromise, duplicate messages, import errors, stale search data, practitioner suspension, failed deployment and future payment mismatch. Security incidents require containment, evidence preservation, impact assessment and notifications according to the applicable obligations; do not hard code one deadline for every incident type.</w:t>
      </w:r>
    </w:p>
    <w:p>
      <w:pPr>
        <w:pStyle w:val="Heading2"/>
      </w:pPr>
      <w:r>
        <w:t>Release and recovery</w:t>
      </w:r>
    </w:p>
    <w:p>
      <w:r>
        <w:rPr>
          <w:b w:val="0"/>
        </w:rPr>
      </w:r>
      <w:r>
        <w:rPr>
          <w:b/>
        </w:rPr>
        <w:t>OPS-07</w:t>
      </w:r>
      <w:r>
        <w:rPr>
          <w:b w:val="0"/>
        </w:rPr>
        <w:t xml:space="preserve"> Use backwards compatible migrations and staged deployment. Before release, back up or establish a tested restore point, verify health checks and confirm a rollback procedure. Avoid a destructive schema rollback that loses appointments committed after deployment; use a forward repair when required.</w:t>
      </w:r>
    </w:p>
    <w:p>
      <w:r>
        <w:rPr>
          <w:b w:val="0"/>
        </w:rPr>
      </w:r>
      <w:r>
        <w:rPr>
          <w:b/>
        </w:rPr>
        <w:t>OPS-08</w:t>
      </w:r>
      <w:r>
        <w:rPr>
          <w:b w:val="0"/>
        </w:rPr>
        <w:t xml:space="preserve"> Restore the database and object references in an isolated environment at least quarterly and before launch. Verify booking counts, representative object retrieval, consent and deletion handling, then record achieved RPO and RTO. A successful backup job alone is not proof of recovery.</w:t>
      </w:r>
    </w:p>
    <w:p>
      <w:r>
        <w:rPr>
          <w:b w:val="0"/>
        </w:rPr>
      </w:r>
      <w:r>
        <w:rPr>
          <w:b/>
        </w:rPr>
        <w:t>OPS-09</w:t>
      </w:r>
      <w:r>
        <w:rPr>
          <w:b w:val="0"/>
        </w:rPr>
        <w:t xml:space="preserve"> Run scheduled jobs with singleton or safely distributed locking, bounded batches and restartable checkpoints. Imports, reminder dispatch and exports must tolerate worker crashes without duplicate irreversible effects.</w:t>
      </w:r>
    </w:p>
    <w:p>
      <w:pPr>
        <w:pStyle w:val="Heading2"/>
      </w:pPr>
      <w:r>
        <w:t>Operational readiness</w:t>
      </w:r>
    </w:p>
    <w:p>
      <w:r>
        <w:rPr>
          <w:b w:val="0"/>
        </w:rPr>
        <w:t>Assign an owner for verification, support, privacy, security incidents and platform analytics before inviting public bookings. Train reviewers on credential labels and escalation decisions. Seed geography and specialties from a reviewed source, reconcile duplicate records and activate only the jurisdiction policies that operations can support.</w:t>
      </w:r>
    </w:p>
    <w:p>
      <w:pPr>
        <w:pStyle w:val="Heading1"/>
      </w:pPr>
      <w:r>
        <w:t>29 Acceptance and traceability</w:t>
      </w:r>
    </w:p>
    <w:p>
      <w:pPr>
        <w:pStyle w:val="Heading2"/>
      </w:pPr>
      <w:r>
        <w:t>Core release scenarios</w:t>
      </w:r>
    </w:p>
    <w:p>
      <w:r>
        <w:rPr>
          <w:b w:val="0"/>
        </w:rPr>
        <w:t>The following tests are the minimum business acceptance suite. Execute them through public and authenticated APIs where relevant, not only by clicking the interface. Each failed launch scenario blocks release until resolved or explicitly removed from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6"/>
        <w:gridCol w:w="2016"/>
        <w:gridCol w:w="5904"/>
      </w:tblGrid>
      <w:tr>
        <w:trPr>
          <w:cantSplit/>
          <w:tblHeader/>
        </w:trPr>
        <w:tc>
          <w:tcPr>
            <w:tcW w:type="dxa" w:w="2246"/>
            <w:vAlign w:val="center"/>
            <w:shd w:fill="183B4E"/>
            <w:tcMar>
              <w:top w:w="85" w:type="dxa"/>
              <w:left w:w="85" w:type="dxa"/>
              <w:bottom w:w="85" w:type="dxa"/>
              <w:right w:w="85" w:type="dxa"/>
            </w:tcMar>
          </w:tcPr>
          <w:p>
            <w:pPr>
              <w:spacing w:after="20" w:line="245" w:lineRule="auto"/>
            </w:pPr>
            <w:r>
              <w:rPr>
                <w:b/>
                <w:color w:val="FFFFFF"/>
                <w:sz w:val="20"/>
              </w:rPr>
              <w:t>Test</w:t>
            </w:r>
          </w:p>
        </w:tc>
        <w:tc>
          <w:tcPr>
            <w:tcW w:type="dxa" w:w="2016"/>
            <w:vAlign w:val="center"/>
            <w:shd w:fill="183B4E"/>
            <w:tcMar>
              <w:top w:w="85" w:type="dxa"/>
              <w:left w:w="85" w:type="dxa"/>
              <w:bottom w:w="85" w:type="dxa"/>
              <w:right w:w="85" w:type="dxa"/>
            </w:tcMar>
          </w:tcPr>
          <w:p>
            <w:pPr>
              <w:spacing w:after="20" w:line="245" w:lineRule="auto"/>
            </w:pPr>
            <w:r>
              <w:rPr>
                <w:b/>
                <w:color w:val="FFFFFF"/>
                <w:sz w:val="20"/>
              </w:rPr>
              <w:t>Requirements</w:t>
            </w:r>
          </w:p>
        </w:tc>
        <w:tc>
          <w:tcPr>
            <w:tcW w:type="dxa" w:w="5904"/>
            <w:vAlign w:val="center"/>
            <w:shd w:fill="183B4E"/>
            <w:tcMar>
              <w:top w:w="85" w:type="dxa"/>
              <w:left w:w="85" w:type="dxa"/>
              <w:bottom w:w="85" w:type="dxa"/>
              <w:right w:w="85" w:type="dxa"/>
            </w:tcMar>
          </w:tcPr>
          <w:p>
            <w:pPr>
              <w:spacing w:after="20" w:line="245" w:lineRule="auto"/>
            </w:pPr>
            <w:r>
              <w:rPr>
                <w:b/>
                <w:color w:val="FFFFFF"/>
                <w:sz w:val="20"/>
              </w:rPr>
              <w:t>Expected result</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AT-01 Geographic discovery</w:t>
            </w:r>
          </w:p>
        </w:tc>
        <w:tc>
          <w:tcPr>
            <w:tcW w:type="dxa" w:w="2016"/>
            <w:vAlign w:val="center"/>
            <w:shd w:fill="FFFFFF"/>
            <w:tcMar>
              <w:top w:w="85" w:type="dxa"/>
              <w:left w:w="85" w:type="dxa"/>
              <w:bottom w:w="85" w:type="dxa"/>
              <w:right w:w="85" w:type="dxa"/>
            </w:tcMar>
          </w:tcPr>
          <w:p>
            <w:pPr>
              <w:spacing w:after="20" w:line="245" w:lineRule="auto"/>
            </w:pPr>
            <w:r>
              <w:rPr>
                <w:b w:val="0"/>
                <w:sz w:val="20"/>
              </w:rPr>
              <w:t>DIR-01, 07 to 15</w:t>
            </w:r>
          </w:p>
        </w:tc>
        <w:tc>
          <w:tcPr>
            <w:tcW w:type="dxa" w:w="5904"/>
            <w:vAlign w:val="center"/>
            <w:shd w:fill="FFFFFF"/>
            <w:tcMar>
              <w:top w:w="85" w:type="dxa"/>
              <w:left w:w="85" w:type="dxa"/>
              <w:bottom w:w="85" w:type="dxa"/>
              <w:right w:w="85" w:type="dxa"/>
            </w:tcMar>
          </w:tcPr>
          <w:p>
            <w:pPr>
              <w:spacing w:after="20" w:line="245" w:lineRule="auto"/>
            </w:pPr>
            <w:r>
              <w:rPr>
                <w:b w:val="0"/>
                <w:sz w:val="20"/>
              </w:rPr>
              <w:t>State, city, locality and aliases resolve correctly; one practitioner card appears for multiple matching branches</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AT-02 Public profile integrity</w:t>
            </w:r>
          </w:p>
        </w:tc>
        <w:tc>
          <w:tcPr>
            <w:tcW w:type="dxa" w:w="2016"/>
            <w:vAlign w:val="center"/>
            <w:shd w:fill="F0F4F6"/>
            <w:tcMar>
              <w:top w:w="85" w:type="dxa"/>
              <w:left w:w="85" w:type="dxa"/>
              <w:bottom w:w="85" w:type="dxa"/>
              <w:right w:w="85" w:type="dxa"/>
            </w:tcMar>
          </w:tcPr>
          <w:p>
            <w:pPr>
              <w:spacing w:after="20" w:line="245" w:lineRule="auto"/>
            </w:pPr>
            <w:r>
              <w:rPr>
                <w:b w:val="0"/>
                <w:sz w:val="20"/>
              </w:rPr>
              <w:t>PRO-08 to 12, SEO-05</w:t>
            </w:r>
          </w:p>
        </w:tc>
        <w:tc>
          <w:tcPr>
            <w:tcW w:type="dxa" w:w="5904"/>
            <w:vAlign w:val="center"/>
            <w:shd w:fill="F0F4F6"/>
            <w:tcMar>
              <w:top w:w="85" w:type="dxa"/>
              <w:left w:w="85" w:type="dxa"/>
              <w:bottom w:w="85" w:type="dxa"/>
              <w:right w:w="85" w:type="dxa"/>
            </w:tcMar>
          </w:tcPr>
          <w:p>
            <w:pPr>
              <w:spacing w:after="20" w:line="245" w:lineRule="auto"/>
            </w:pPr>
            <w:r>
              <w:rPr>
                <w:b w:val="0"/>
                <w:sz w:val="20"/>
              </w:rPr>
              <w:t>Published page and metadata contain approved data only; private evidence and drafts cannot be retrieved</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AT-03 Claim and duplicate control</w:t>
            </w:r>
          </w:p>
        </w:tc>
        <w:tc>
          <w:tcPr>
            <w:tcW w:type="dxa" w:w="2016"/>
            <w:vAlign w:val="center"/>
            <w:shd w:fill="FFFFFF"/>
            <w:tcMar>
              <w:top w:w="85" w:type="dxa"/>
              <w:left w:w="85" w:type="dxa"/>
              <w:bottom w:w="85" w:type="dxa"/>
              <w:right w:w="85" w:type="dxa"/>
            </w:tcMar>
          </w:tcPr>
          <w:p>
            <w:pPr>
              <w:spacing w:after="20" w:line="245" w:lineRule="auto"/>
            </w:pPr>
            <w:r>
              <w:rPr>
                <w:b w:val="0"/>
                <w:sz w:val="20"/>
              </w:rPr>
              <w:t>PRO-04 to 07, VER-01</w:t>
            </w:r>
          </w:p>
        </w:tc>
        <w:tc>
          <w:tcPr>
            <w:tcW w:type="dxa" w:w="5904"/>
            <w:vAlign w:val="center"/>
            <w:shd w:fill="FFFFFF"/>
            <w:tcMar>
              <w:top w:w="85" w:type="dxa"/>
              <w:left w:w="85" w:type="dxa"/>
              <w:bottom w:w="85" w:type="dxa"/>
              <w:right w:w="85" w:type="dxa"/>
            </w:tcMar>
          </w:tcPr>
          <w:p>
            <w:pPr>
              <w:spacing w:after="20" w:line="245" w:lineRule="auto"/>
            </w:pPr>
            <w:r>
              <w:rPr>
                <w:b w:val="0"/>
                <w:sz w:val="20"/>
              </w:rPr>
              <w:t>Competing claims reach review; enrolment or membership is never displayed as statutory licence verification</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AT-04 Cross account isolation</w:t>
            </w:r>
          </w:p>
        </w:tc>
        <w:tc>
          <w:tcPr>
            <w:tcW w:type="dxa" w:w="2016"/>
            <w:vAlign w:val="center"/>
            <w:shd w:fill="F0F4F6"/>
            <w:tcMar>
              <w:top w:w="85" w:type="dxa"/>
              <w:left w:w="85" w:type="dxa"/>
              <w:bottom w:w="85" w:type="dxa"/>
              <w:right w:w="85" w:type="dxa"/>
            </w:tcMar>
          </w:tcPr>
          <w:p>
            <w:pPr>
              <w:spacing w:after="20" w:line="245" w:lineRule="auto"/>
            </w:pPr>
            <w:r>
              <w:rPr>
                <w:b w:val="0"/>
                <w:sz w:val="20"/>
              </w:rPr>
              <w:t>IAM-01 to 05, SEC-03</w:t>
            </w:r>
          </w:p>
        </w:tc>
        <w:tc>
          <w:tcPr>
            <w:tcW w:type="dxa" w:w="5904"/>
            <w:vAlign w:val="center"/>
            <w:shd w:fill="F0F4F6"/>
            <w:tcMar>
              <w:top w:w="85" w:type="dxa"/>
              <w:left w:w="85" w:type="dxa"/>
              <w:bottom w:w="85" w:type="dxa"/>
              <w:right w:w="85" w:type="dxa"/>
            </w:tcMar>
          </w:tcPr>
          <w:p>
            <w:pPr>
              <w:spacing w:after="20" w:line="245" w:lineRule="auto"/>
            </w:pPr>
            <w:r>
              <w:rPr>
                <w:b w:val="0"/>
                <w:sz w:val="20"/>
              </w:rPr>
              <w:t>Second patient, practitioner and clinic cannot read or mutate each other's records, files or exports</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AT-05 Slot calculation</w:t>
            </w:r>
          </w:p>
        </w:tc>
        <w:tc>
          <w:tcPr>
            <w:tcW w:type="dxa" w:w="2016"/>
            <w:vAlign w:val="center"/>
            <w:shd w:fill="FFFFFF"/>
            <w:tcMar>
              <w:top w:w="85" w:type="dxa"/>
              <w:left w:w="85" w:type="dxa"/>
              <w:bottom w:w="85" w:type="dxa"/>
              <w:right w:w="85" w:type="dxa"/>
            </w:tcMar>
          </w:tcPr>
          <w:p>
            <w:pPr>
              <w:spacing w:after="20" w:line="245" w:lineRule="auto"/>
            </w:pPr>
            <w:r>
              <w:rPr>
                <w:b w:val="0"/>
                <w:sz w:val="20"/>
              </w:rPr>
              <w:t>CAL-05 to 11</w:t>
            </w:r>
          </w:p>
        </w:tc>
        <w:tc>
          <w:tcPr>
            <w:tcW w:type="dxa" w:w="5904"/>
            <w:vAlign w:val="center"/>
            <w:shd w:fill="FFFFFF"/>
            <w:tcMar>
              <w:top w:w="85" w:type="dxa"/>
              <w:left w:w="85" w:type="dxa"/>
              <w:bottom w:w="85" w:type="dxa"/>
              <w:right w:w="85" w:type="dxa"/>
            </w:tcMar>
          </w:tcPr>
          <w:p>
            <w:pPr>
              <w:spacing w:after="20" w:line="245" w:lineRule="auto"/>
            </w:pPr>
            <w:r>
              <w:rPr>
                <w:b w:val="0"/>
                <w:sz w:val="20"/>
              </w:rPr>
              <w:t>Leave, buffers, cutoffs, date overrides and branch changes produce exactly the expected slot set</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AT-06 Concurrent reservations</w:t>
            </w:r>
          </w:p>
        </w:tc>
        <w:tc>
          <w:tcPr>
            <w:tcW w:type="dxa" w:w="2016"/>
            <w:vAlign w:val="center"/>
            <w:shd w:fill="F0F4F6"/>
            <w:tcMar>
              <w:top w:w="85" w:type="dxa"/>
              <w:left w:w="85" w:type="dxa"/>
              <w:bottom w:w="85" w:type="dxa"/>
              <w:right w:w="85" w:type="dxa"/>
            </w:tcMar>
          </w:tcPr>
          <w:p>
            <w:pPr>
              <w:spacing w:after="20" w:line="245" w:lineRule="auto"/>
            </w:pPr>
            <w:r>
              <w:rPr>
                <w:b w:val="0"/>
                <w:sz w:val="20"/>
              </w:rPr>
              <w:t>BKG-07 to 09, DAT-19</w:t>
            </w:r>
          </w:p>
        </w:tc>
        <w:tc>
          <w:tcPr>
            <w:tcW w:type="dxa" w:w="5904"/>
            <w:vAlign w:val="center"/>
            <w:shd w:fill="F0F4F6"/>
            <w:tcMar>
              <w:top w:w="85" w:type="dxa"/>
              <w:left w:w="85" w:type="dxa"/>
              <w:bottom w:w="85" w:type="dxa"/>
              <w:right w:w="85" w:type="dxa"/>
            </w:tcMar>
          </w:tcPr>
          <w:p>
            <w:pPr>
              <w:spacing w:after="20" w:line="245" w:lineRule="auto"/>
            </w:pPr>
            <w:r>
              <w:rPr>
                <w:b w:val="0"/>
                <w:sz w:val="20"/>
              </w:rPr>
              <w:t>50 valid simultaneous attempts at one available overlapping interval across two branches yield exactly one confirmed appointment; all others receive conflicts</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AT-07 Retry after timeout</w:t>
            </w:r>
          </w:p>
        </w:tc>
        <w:tc>
          <w:tcPr>
            <w:tcW w:type="dxa" w:w="2016"/>
            <w:vAlign w:val="center"/>
            <w:shd w:fill="FFFFFF"/>
            <w:tcMar>
              <w:top w:w="85" w:type="dxa"/>
              <w:left w:w="85" w:type="dxa"/>
              <w:bottom w:w="85" w:type="dxa"/>
              <w:right w:w="85" w:type="dxa"/>
            </w:tcMar>
          </w:tcPr>
          <w:p>
            <w:pPr>
              <w:spacing w:after="20" w:line="245" w:lineRule="auto"/>
            </w:pPr>
            <w:r>
              <w:rPr>
                <w:b w:val="0"/>
                <w:sz w:val="20"/>
              </w:rPr>
              <w:t>BKG-10, API-07</w:t>
            </w:r>
          </w:p>
        </w:tc>
        <w:tc>
          <w:tcPr>
            <w:tcW w:type="dxa" w:w="5904"/>
            <w:vAlign w:val="center"/>
            <w:shd w:fill="FFFFFF"/>
            <w:tcMar>
              <w:top w:w="85" w:type="dxa"/>
              <w:left w:w="85" w:type="dxa"/>
              <w:bottom w:w="85" w:type="dxa"/>
              <w:right w:w="85" w:type="dxa"/>
            </w:tcMar>
          </w:tcPr>
          <w:p>
            <w:pPr>
              <w:spacing w:after="20" w:line="245" w:lineRule="auto"/>
            </w:pPr>
            <w:r>
              <w:rPr>
                <w:b w:val="0"/>
                <w:sz w:val="20"/>
              </w:rPr>
              <w:t>Repeated identical key returns original booking; altered payload with same key returns conflict</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AT-08 Expired hold</w:t>
            </w:r>
          </w:p>
        </w:tc>
        <w:tc>
          <w:tcPr>
            <w:tcW w:type="dxa" w:w="2016"/>
            <w:vAlign w:val="center"/>
            <w:shd w:fill="F0F4F6"/>
            <w:tcMar>
              <w:top w:w="85" w:type="dxa"/>
              <w:left w:w="85" w:type="dxa"/>
              <w:bottom w:w="85" w:type="dxa"/>
              <w:right w:w="85" w:type="dxa"/>
            </w:tcMar>
          </w:tcPr>
          <w:p>
            <w:pPr>
              <w:spacing w:after="20" w:line="245" w:lineRule="auto"/>
            </w:pPr>
            <w:r>
              <w:rPr>
                <w:b w:val="0"/>
                <w:sz w:val="20"/>
              </w:rPr>
              <w:t>BKG-09</w:t>
            </w:r>
          </w:p>
        </w:tc>
        <w:tc>
          <w:tcPr>
            <w:tcW w:type="dxa" w:w="5904"/>
            <w:vAlign w:val="center"/>
            <w:shd w:fill="F0F4F6"/>
            <w:tcMar>
              <w:top w:w="85" w:type="dxa"/>
              <w:left w:w="85" w:type="dxa"/>
              <w:bottom w:w="85" w:type="dxa"/>
              <w:right w:w="85" w:type="dxa"/>
            </w:tcMar>
          </w:tcPr>
          <w:p>
            <w:pPr>
              <w:spacing w:after="20" w:line="245" w:lineRule="auto"/>
            </w:pPr>
            <w:r>
              <w:rPr>
                <w:b w:val="0"/>
                <w:sz w:val="20"/>
              </w:rPr>
              <w:t>Elapsed hold cannot confirm; delayed expiry worker does not indefinitely block a new attempt</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AT-09 Atomic reschedule</w:t>
            </w:r>
          </w:p>
        </w:tc>
        <w:tc>
          <w:tcPr>
            <w:tcW w:type="dxa" w:w="2016"/>
            <w:vAlign w:val="center"/>
            <w:shd w:fill="FFFFFF"/>
            <w:tcMar>
              <w:top w:w="85" w:type="dxa"/>
              <w:left w:w="85" w:type="dxa"/>
              <w:bottom w:w="85" w:type="dxa"/>
              <w:right w:w="85" w:type="dxa"/>
            </w:tcMar>
          </w:tcPr>
          <w:p>
            <w:pPr>
              <w:spacing w:after="20" w:line="245" w:lineRule="auto"/>
            </w:pPr>
            <w:r>
              <w:rPr>
                <w:b w:val="0"/>
                <w:sz w:val="20"/>
              </w:rPr>
              <w:t>BKG-03, 11</w:t>
            </w:r>
          </w:p>
        </w:tc>
        <w:tc>
          <w:tcPr>
            <w:tcW w:type="dxa" w:w="5904"/>
            <w:vAlign w:val="center"/>
            <w:shd w:fill="FFFFFF"/>
            <w:tcMar>
              <w:top w:w="85" w:type="dxa"/>
              <w:left w:w="85" w:type="dxa"/>
              <w:bottom w:w="85" w:type="dxa"/>
              <w:right w:w="85" w:type="dxa"/>
            </w:tcMar>
          </w:tcPr>
          <w:p>
            <w:pPr>
              <w:spacing w:after="20" w:line="245" w:lineRule="auto"/>
            </w:pPr>
            <w:r>
              <w:rPr>
                <w:b w:val="0"/>
                <w:sz w:val="20"/>
              </w:rPr>
              <w:t>Occupied new slot causes full rollback; original time, quote and offer remain intact</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AT-10 Lifecycle conflicts</w:t>
            </w:r>
          </w:p>
        </w:tc>
        <w:tc>
          <w:tcPr>
            <w:tcW w:type="dxa" w:w="2016"/>
            <w:vAlign w:val="center"/>
            <w:shd w:fill="F0F4F6"/>
            <w:tcMar>
              <w:top w:w="85" w:type="dxa"/>
              <w:left w:w="85" w:type="dxa"/>
              <w:bottom w:w="85" w:type="dxa"/>
              <w:right w:w="85" w:type="dxa"/>
            </w:tcMar>
          </w:tcPr>
          <w:p>
            <w:pPr>
              <w:spacing w:after="20" w:line="245" w:lineRule="auto"/>
            </w:pPr>
            <w:r>
              <w:rPr>
                <w:b w:val="0"/>
                <w:sz w:val="20"/>
              </w:rPr>
              <w:t>BKG-04, 05</w:t>
            </w:r>
          </w:p>
        </w:tc>
        <w:tc>
          <w:tcPr>
            <w:tcW w:type="dxa" w:w="5904"/>
            <w:vAlign w:val="center"/>
            <w:shd w:fill="F0F4F6"/>
            <w:tcMar>
              <w:top w:w="85" w:type="dxa"/>
              <w:left w:w="85" w:type="dxa"/>
              <w:bottom w:w="85" w:type="dxa"/>
              <w:right w:w="85" w:type="dxa"/>
            </w:tcMar>
          </w:tcPr>
          <w:p>
            <w:pPr>
              <w:spacing w:after="20" w:line="245" w:lineRule="auto"/>
            </w:pPr>
            <w:r>
              <w:rPr>
                <w:b w:val="0"/>
                <w:sz w:val="20"/>
              </w:rPr>
              <w:t>Concurrent completion and cancellation cannot overwrite each other; offline receipt is not inferred</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AT-11 Offer race and price</w:t>
            </w:r>
          </w:p>
        </w:tc>
        <w:tc>
          <w:tcPr>
            <w:tcW w:type="dxa" w:w="2016"/>
            <w:vAlign w:val="center"/>
            <w:shd w:fill="FFFFFF"/>
            <w:tcMar>
              <w:top w:w="85" w:type="dxa"/>
              <w:left w:w="85" w:type="dxa"/>
              <w:bottom w:w="85" w:type="dxa"/>
              <w:right w:w="85" w:type="dxa"/>
            </w:tcMar>
          </w:tcPr>
          <w:p>
            <w:pPr>
              <w:spacing w:after="20" w:line="245" w:lineRule="auto"/>
            </w:pPr>
            <w:r>
              <w:rPr>
                <w:b w:val="0"/>
                <w:sz w:val="20"/>
              </w:rPr>
              <w:t>OFR-02 to 06</w:t>
            </w:r>
          </w:p>
        </w:tc>
        <w:tc>
          <w:tcPr>
            <w:tcW w:type="dxa" w:w="5904"/>
            <w:vAlign w:val="center"/>
            <w:shd w:fill="FFFFFF"/>
            <w:tcMar>
              <w:top w:w="85" w:type="dxa"/>
              <w:left w:w="85" w:type="dxa"/>
              <w:bottom w:w="85" w:type="dxa"/>
              <w:right w:w="85" w:type="dxa"/>
            </w:tcMar>
          </w:tcPr>
          <w:p>
            <w:pPr>
              <w:spacing w:after="20" w:line="245" w:lineRule="auto"/>
            </w:pPr>
            <w:r>
              <w:rPr>
                <w:b w:val="0"/>
                <w:sz w:val="20"/>
              </w:rPr>
              <w:t>Last redemption cannot be consumed twice; rounding and snapshots match displayed terms</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AT-12 Suspension and expiry</w:t>
            </w:r>
          </w:p>
        </w:tc>
        <w:tc>
          <w:tcPr>
            <w:tcW w:type="dxa" w:w="2016"/>
            <w:vAlign w:val="center"/>
            <w:shd w:fill="F0F4F6"/>
            <w:tcMar>
              <w:top w:w="85" w:type="dxa"/>
              <w:left w:w="85" w:type="dxa"/>
              <w:bottom w:w="85" w:type="dxa"/>
              <w:right w:w="85" w:type="dxa"/>
            </w:tcMar>
          </w:tcPr>
          <w:p>
            <w:pPr>
              <w:spacing w:after="20" w:line="245" w:lineRule="auto"/>
            </w:pPr>
            <w:r>
              <w:rPr>
                <w:b w:val="0"/>
                <w:sz w:val="20"/>
              </w:rPr>
              <w:t>VER-04 to 06</w:t>
            </w:r>
          </w:p>
        </w:tc>
        <w:tc>
          <w:tcPr>
            <w:tcW w:type="dxa" w:w="5904"/>
            <w:vAlign w:val="center"/>
            <w:shd w:fill="F0F4F6"/>
            <w:tcMar>
              <w:top w:w="85" w:type="dxa"/>
              <w:left w:w="85" w:type="dxa"/>
              <w:bottom w:w="85" w:type="dxa"/>
              <w:right w:w="85" w:type="dxa"/>
            </w:tcMar>
          </w:tcPr>
          <w:p>
            <w:pPr>
              <w:spacing w:after="20" w:line="245" w:lineRule="auto"/>
            </w:pPr>
            <w:r>
              <w:rPr>
                <w:b w:val="0"/>
                <w:sz w:val="20"/>
              </w:rPr>
              <w:t>New reservations stop immediately; future appointments enter an auditable resolution queue</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AT-13 Notification failure</w:t>
            </w:r>
          </w:p>
        </w:tc>
        <w:tc>
          <w:tcPr>
            <w:tcW w:type="dxa" w:w="2016"/>
            <w:vAlign w:val="center"/>
            <w:shd w:fill="FFFFFF"/>
            <w:tcMar>
              <w:top w:w="85" w:type="dxa"/>
              <w:left w:w="85" w:type="dxa"/>
              <w:bottom w:w="85" w:type="dxa"/>
              <w:right w:w="85" w:type="dxa"/>
            </w:tcMar>
          </w:tcPr>
          <w:p>
            <w:pPr>
              <w:spacing w:after="20" w:line="245" w:lineRule="auto"/>
            </w:pPr>
            <w:r>
              <w:rPr>
                <w:b w:val="0"/>
                <w:sz w:val="20"/>
              </w:rPr>
              <w:t>MSG-01 to 03, DAT-03</w:t>
            </w:r>
          </w:p>
        </w:tc>
        <w:tc>
          <w:tcPr>
            <w:tcW w:type="dxa" w:w="5904"/>
            <w:vAlign w:val="center"/>
            <w:shd w:fill="FFFFFF"/>
            <w:tcMar>
              <w:top w:w="85" w:type="dxa"/>
              <w:left w:w="85" w:type="dxa"/>
              <w:bottom w:w="85" w:type="dxa"/>
              <w:right w:w="85" w:type="dxa"/>
            </w:tcMar>
          </w:tcPr>
          <w:p>
            <w:pPr>
              <w:spacing w:after="20" w:line="245" w:lineRule="auto"/>
            </w:pPr>
            <w:r>
              <w:rPr>
                <w:b w:val="0"/>
                <w:sz w:val="20"/>
              </w:rPr>
              <w:t>Booking remains confirmed; messages retry without duplicate logical notifications or stale reminders</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AT-14 Dependants</w:t>
            </w:r>
          </w:p>
        </w:tc>
        <w:tc>
          <w:tcPr>
            <w:tcW w:type="dxa" w:w="2016"/>
            <w:vAlign w:val="center"/>
            <w:shd w:fill="F0F4F6"/>
            <w:tcMar>
              <w:top w:w="85" w:type="dxa"/>
              <w:left w:w="85" w:type="dxa"/>
              <w:bottom w:w="85" w:type="dxa"/>
              <w:right w:w="85" w:type="dxa"/>
            </w:tcMar>
          </w:tcPr>
          <w:p>
            <w:pPr>
              <w:spacing w:after="20" w:line="245" w:lineRule="auto"/>
            </w:pPr>
            <w:r>
              <w:rPr>
                <w:b w:val="0"/>
                <w:sz w:val="20"/>
              </w:rPr>
              <w:t>BKG-16</w:t>
            </w:r>
          </w:p>
        </w:tc>
        <w:tc>
          <w:tcPr>
            <w:tcW w:type="dxa" w:w="5904"/>
            <w:vAlign w:val="center"/>
            <w:shd w:fill="F0F4F6"/>
            <w:tcMar>
              <w:top w:w="85" w:type="dxa"/>
              <w:left w:w="85" w:type="dxa"/>
              <w:bottom w:w="85" w:type="dxa"/>
              <w:right w:w="85" w:type="dxa"/>
            </w:tcMar>
          </w:tcPr>
          <w:p>
            <w:pPr>
              <w:spacing w:after="20" w:line="245" w:lineRule="auto"/>
            </w:pPr>
            <w:r>
              <w:rPr>
                <w:b w:val="0"/>
                <w:sz w:val="20"/>
              </w:rPr>
              <w:t>Unauthorised dependant access fails; two dependants can book concurrently; minor flow is gated</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AT-15 Privacy and uploads</w:t>
            </w:r>
          </w:p>
        </w:tc>
        <w:tc>
          <w:tcPr>
            <w:tcW w:type="dxa" w:w="2016"/>
            <w:vAlign w:val="center"/>
            <w:shd w:fill="FFFFFF"/>
            <w:tcMar>
              <w:top w:w="85" w:type="dxa"/>
              <w:left w:w="85" w:type="dxa"/>
              <w:bottom w:w="85" w:type="dxa"/>
              <w:right w:w="85" w:type="dxa"/>
            </w:tcMar>
          </w:tcPr>
          <w:p>
            <w:pPr>
              <w:spacing w:after="20" w:line="245" w:lineRule="auto"/>
            </w:pPr>
            <w:r>
              <w:rPr>
                <w:b w:val="0"/>
                <w:sz w:val="20"/>
              </w:rPr>
              <w:t>SEC-04, 07 to 09</w:t>
            </w:r>
          </w:p>
        </w:tc>
        <w:tc>
          <w:tcPr>
            <w:tcW w:type="dxa" w:w="5904"/>
            <w:vAlign w:val="center"/>
            <w:shd w:fill="FFFFFF"/>
            <w:tcMar>
              <w:top w:w="85" w:type="dxa"/>
              <w:left w:w="85" w:type="dxa"/>
              <w:bottom w:w="85" w:type="dxa"/>
              <w:right w:w="85" w:type="dxa"/>
            </w:tcMar>
          </w:tcPr>
          <w:p>
            <w:pPr>
              <w:spacing w:after="20" w:line="245" w:lineRule="auto"/>
            </w:pPr>
            <w:r>
              <w:rPr>
                <w:b w:val="0"/>
                <w:sz w:val="20"/>
              </w:rPr>
              <w:t>Unsafe file stays quarantined; signed access expires; erasure covers projections and restore tombstones</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AT-16 Reporting and reviews</w:t>
            </w:r>
          </w:p>
        </w:tc>
        <w:tc>
          <w:tcPr>
            <w:tcW w:type="dxa" w:w="2016"/>
            <w:vAlign w:val="center"/>
            <w:shd w:fill="F0F4F6"/>
            <w:tcMar>
              <w:top w:w="85" w:type="dxa"/>
              <w:left w:w="85" w:type="dxa"/>
              <w:bottom w:w="85" w:type="dxa"/>
              <w:right w:w="85" w:type="dxa"/>
            </w:tcMar>
          </w:tcPr>
          <w:p>
            <w:pPr>
              <w:spacing w:after="20" w:line="245" w:lineRule="auto"/>
            </w:pPr>
            <w:r>
              <w:rPr>
                <w:b w:val="0"/>
                <w:sz w:val="20"/>
              </w:rPr>
              <w:t>ANA-01 to 03, REV-01</w:t>
            </w:r>
          </w:p>
        </w:tc>
        <w:tc>
          <w:tcPr>
            <w:tcW w:type="dxa" w:w="5904"/>
            <w:vAlign w:val="center"/>
            <w:shd w:fill="F0F4F6"/>
            <w:tcMar>
              <w:top w:w="85" w:type="dxa"/>
              <w:left w:w="85" w:type="dxa"/>
              <w:bottom w:w="85" w:type="dxa"/>
              <w:right w:w="85" w:type="dxa"/>
            </w:tcMar>
          </w:tcPr>
          <w:p>
            <w:pPr>
              <w:spacing w:after="20" w:line="245" w:lineRule="auto"/>
            </w:pPr>
            <w:r>
              <w:rPr>
                <w:b w:val="0"/>
                <w:sz w:val="20"/>
              </w:rPr>
              <w:t>Status and date filters reconcile; review possible only for the correct completed booking</w:t>
            </w:r>
          </w:p>
        </w:tc>
      </w:tr>
      <w:tr>
        <w:trPr>
          <w:cantSplit/>
        </w:trPr>
        <w:tc>
          <w:tcPr>
            <w:tcW w:type="dxa" w:w="2246"/>
            <w:vAlign w:val="center"/>
            <w:shd w:fill="FFFFFF"/>
            <w:tcMar>
              <w:top w:w="85" w:type="dxa"/>
              <w:left w:w="85" w:type="dxa"/>
              <w:bottom w:w="85" w:type="dxa"/>
              <w:right w:w="85" w:type="dxa"/>
            </w:tcMar>
          </w:tcPr>
          <w:p>
            <w:pPr>
              <w:spacing w:after="20" w:line="245" w:lineRule="auto"/>
            </w:pPr>
            <w:r>
              <w:rPr>
                <w:b w:val="0"/>
                <w:sz w:val="20"/>
              </w:rPr>
              <w:t>AT-17 Quality and recovery</w:t>
            </w:r>
          </w:p>
        </w:tc>
        <w:tc>
          <w:tcPr>
            <w:tcW w:type="dxa" w:w="2016"/>
            <w:vAlign w:val="center"/>
            <w:shd w:fill="FFFFFF"/>
            <w:tcMar>
              <w:top w:w="85" w:type="dxa"/>
              <w:left w:w="85" w:type="dxa"/>
              <w:bottom w:w="85" w:type="dxa"/>
              <w:right w:w="85" w:type="dxa"/>
            </w:tcMar>
          </w:tcPr>
          <w:p>
            <w:pPr>
              <w:spacing w:after="20" w:line="245" w:lineRule="auto"/>
            </w:pPr>
            <w:r>
              <w:rPr>
                <w:b w:val="0"/>
                <w:sz w:val="20"/>
              </w:rPr>
              <w:t>NFR-01 to 08, OPS-08</w:t>
            </w:r>
          </w:p>
        </w:tc>
        <w:tc>
          <w:tcPr>
            <w:tcW w:type="dxa" w:w="5904"/>
            <w:vAlign w:val="center"/>
            <w:shd w:fill="FFFFFF"/>
            <w:tcMar>
              <w:top w:w="85" w:type="dxa"/>
              <w:left w:w="85" w:type="dxa"/>
              <w:bottom w:w="85" w:type="dxa"/>
              <w:right w:w="85" w:type="dxa"/>
            </w:tcMar>
          </w:tcPr>
          <w:p>
            <w:pPr>
              <w:spacing w:after="20" w:line="245" w:lineRule="auto"/>
            </w:pPr>
            <w:r>
              <w:rPr>
                <w:b w:val="0"/>
                <w:sz w:val="20"/>
              </w:rPr>
              <w:t>Agreed load, accessibility and restore tests meet thresholds with evidence recorded</w:t>
            </w:r>
          </w:p>
        </w:tc>
      </w:tr>
      <w:tr>
        <w:trPr>
          <w:cantSplit/>
        </w:trPr>
        <w:tc>
          <w:tcPr>
            <w:tcW w:type="dxa" w:w="2246"/>
            <w:vAlign w:val="center"/>
            <w:shd w:fill="F0F4F6"/>
            <w:tcMar>
              <w:top w:w="85" w:type="dxa"/>
              <w:left w:w="85" w:type="dxa"/>
              <w:bottom w:w="85" w:type="dxa"/>
              <w:right w:w="85" w:type="dxa"/>
            </w:tcMar>
          </w:tcPr>
          <w:p>
            <w:pPr>
              <w:spacing w:after="20" w:line="245" w:lineRule="auto"/>
            </w:pPr>
            <w:r>
              <w:rPr>
                <w:b w:val="0"/>
                <w:sz w:val="20"/>
              </w:rPr>
              <w:t>AT-18 Future payments R2</w:t>
            </w:r>
          </w:p>
        </w:tc>
        <w:tc>
          <w:tcPr>
            <w:tcW w:type="dxa" w:w="2016"/>
            <w:vAlign w:val="center"/>
            <w:shd w:fill="F0F4F6"/>
            <w:tcMar>
              <w:top w:w="85" w:type="dxa"/>
              <w:left w:w="85" w:type="dxa"/>
              <w:bottom w:w="85" w:type="dxa"/>
              <w:right w:w="85" w:type="dxa"/>
            </w:tcMar>
          </w:tcPr>
          <w:p>
            <w:pPr>
              <w:spacing w:after="20" w:line="245" w:lineRule="auto"/>
            </w:pPr>
            <w:r>
              <w:rPr>
                <w:b w:val="0"/>
                <w:sz w:val="20"/>
              </w:rPr>
              <w:t>PAY-02 to 05, API-10</w:t>
            </w:r>
          </w:p>
        </w:tc>
        <w:tc>
          <w:tcPr>
            <w:tcW w:type="dxa" w:w="5904"/>
            <w:vAlign w:val="center"/>
            <w:shd w:fill="F0F4F6"/>
            <w:tcMar>
              <w:top w:w="85" w:type="dxa"/>
              <w:left w:w="85" w:type="dxa"/>
              <w:bottom w:w="85" w:type="dxa"/>
              <w:right w:w="85" w:type="dxa"/>
            </w:tcMar>
          </w:tcPr>
          <w:p>
            <w:pPr>
              <w:spacing w:after="20" w:line="245" w:lineRule="auto"/>
            </w:pPr>
            <w:r>
              <w:rPr>
                <w:b w:val="0"/>
                <w:sz w:val="20"/>
              </w:rPr>
              <w:t>Duplicate or reordered webhooks, partial refunds and late success cannot double charge or overbook</w:t>
            </w:r>
          </w:p>
        </w:tc>
      </w:tr>
    </w:tbl>
    <w:p>
      <w:pPr>
        <w:spacing w:after="0" w:line="60" w:lineRule="exact"/>
      </w:pPr>
      <w:r>
        <w:rPr>
          <w:sz w:val="6"/>
        </w:rPr>
      </w:r>
    </w:p>
    <w:p>
      <w:r>
        <w:rPr>
          <w:b w:val="0"/>
        </w:rPr>
      </w:r>
      <w:r>
        <w:rPr>
          <w:b/>
        </w:rPr>
        <w:t>Exit criteria</w:t>
      </w:r>
      <w:r>
        <w:rPr>
          <w:b w:val="0"/>
        </w:rPr>
        <w:t xml:space="preserve"> All launch scenarios pass; no unresolved critical or high severity security defects; monitoring and restoration tested; published policies and jurisdiction rules approved; core journeys pass on mobile and desktop; reviewer and support owners trained.</w:t>
      </w:r>
    </w:p>
    <w:p>
      <w:pPr>
        <w:pStyle w:val="Heading1"/>
      </w:pPr>
      <w:r>
        <w:t>30 Roadmap and decision register</w:t>
      </w:r>
    </w:p>
    <w:p>
      <w:pPr>
        <w:pStyle w:val="Heading2"/>
      </w:pPr>
      <w:r>
        <w:t>Delivery sequence</w:t>
      </w:r>
    </w:p>
    <w:p>
      <w:r>
        <w:rPr>
          <w:b w:val="0"/>
        </w:rPr>
      </w:r>
      <w:r>
        <w:rPr>
          <w:b/>
        </w:rPr>
        <w:t>Foundation</w:t>
      </w:r>
      <w:r>
        <w:rPr>
          <w:b w:val="0"/>
        </w:rPr>
        <w:t xml:space="preserve"> Finalise terminology, wireframes, role scopes and jurisdiction policies; provision isolated Neon environments; implement authentication, geography, credentials and profile versioning. Exit with a reviewable directory and controlled onboarding.</w:t>
      </w:r>
    </w:p>
    <w:p>
      <w:r>
        <w:rPr>
          <w:b w:val="0"/>
        </w:rPr>
      </w:r>
      <w:r>
        <w:rPr>
          <w:b/>
        </w:rPr>
        <w:t>Launch build</w:t>
      </w:r>
      <w:r>
        <w:rPr>
          <w:b w:val="0"/>
        </w:rPr>
        <w:t xml:space="preserve"> Add offerings, availability, transactional booking, cancellations, rescheduling, pay at clinic offers, staff workspaces, notifications, completed appointment reviews, admin queues and analytics. Exit with the Section 29 suite passing and an operations rehearsal completed.</w:t>
      </w:r>
    </w:p>
    <w:p>
      <w:r>
        <w:rPr>
          <w:b w:val="0"/>
        </w:rPr>
      </w:r>
      <w:r>
        <w:rPr>
          <w:b/>
        </w:rPr>
        <w:t>R1 growth</w:t>
      </w:r>
      <w:r>
        <w:rPr>
          <w:b w:val="0"/>
        </w:rPr>
        <w:t xml:space="preserve"> Add selected languages, external calendar busy sync, request to book, waitlists, home visits or online modes, recurring session management and richer professional publishing. Each feature requires its own conflict and privacy acceptance tests.</w:t>
      </w:r>
    </w:p>
    <w:p>
      <w:r>
        <w:rPr>
          <w:b w:val="0"/>
        </w:rPr>
      </w:r>
      <w:r>
        <w:rPr>
          <w:b/>
        </w:rPr>
        <w:t>R2 payments</w:t>
      </w:r>
      <w:r>
        <w:rPr>
          <w:b w:val="0"/>
        </w:rPr>
        <w:t xml:space="preserve"> Confirm the commercial and legal model, implement gateway orders, signed webhooks, refunds, reconciliation, invoicing and settlements, then run end to end sandbox and production readiness tests before enabling collection.</w:t>
      </w:r>
    </w:p>
    <w:p>
      <w:pPr>
        <w:pStyle w:val="Heading2"/>
      </w:pPr>
      <w:r>
        <w:t>Owner decisions with proposed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shd w:fill="183B4E"/>
            <w:tcMar>
              <w:top w:w="85" w:type="dxa"/>
              <w:left w:w="85" w:type="dxa"/>
              <w:bottom w:w="85" w:type="dxa"/>
              <w:right w:w="85" w:type="dxa"/>
            </w:tcMar>
          </w:tcPr>
          <w:p>
            <w:pPr>
              <w:spacing w:after="20" w:line="245" w:lineRule="auto"/>
            </w:pPr>
            <w:r>
              <w:rPr>
                <w:b/>
                <w:color w:val="FFFFFF"/>
                <w:sz w:val="20"/>
              </w:rPr>
              <w:t>Decision</w:t>
            </w:r>
          </w:p>
        </w:tc>
        <w:tc>
          <w:tcPr>
            <w:tcW w:type="dxa" w:w="3528"/>
            <w:vAlign w:val="center"/>
            <w:shd w:fill="183B4E"/>
            <w:tcMar>
              <w:top w:w="85" w:type="dxa"/>
              <w:left w:w="85" w:type="dxa"/>
              <w:bottom w:w="85" w:type="dxa"/>
              <w:right w:w="85" w:type="dxa"/>
            </w:tcMar>
          </w:tcPr>
          <w:p>
            <w:pPr>
              <w:spacing w:after="20" w:line="245" w:lineRule="auto"/>
            </w:pPr>
            <w:r>
              <w:rPr>
                <w:b/>
                <w:color w:val="FFFFFF"/>
                <w:sz w:val="20"/>
              </w:rPr>
              <w:t>Proposed baseline</w:t>
            </w:r>
          </w:p>
        </w:tc>
        <w:tc>
          <w:tcPr>
            <w:tcW w:type="dxa" w:w="4406"/>
            <w:vAlign w:val="center"/>
            <w:shd w:fill="183B4E"/>
            <w:tcMar>
              <w:top w:w="85" w:type="dxa"/>
              <w:left w:w="85" w:type="dxa"/>
              <w:bottom w:w="85" w:type="dxa"/>
              <w:right w:w="85" w:type="dxa"/>
            </w:tcMar>
          </w:tcPr>
          <w:p>
            <w:pPr>
              <w:spacing w:after="20" w:line="245" w:lineRule="auto"/>
            </w:pPr>
            <w:r>
              <w:rPr>
                <w:b/>
                <w:color w:val="FFFFFF"/>
                <w:sz w:val="20"/>
              </w:rPr>
              <w:t>Decision owner and timing</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Platform business model</w:t>
            </w:r>
          </w:p>
        </w:tc>
        <w:tc>
          <w:tcPr>
            <w:tcW w:type="dxa" w:w="3528"/>
            <w:vAlign w:val="center"/>
            <w:shd w:fill="FFFFFF"/>
            <w:tcMar>
              <w:top w:w="85" w:type="dxa"/>
              <w:left w:w="85" w:type="dxa"/>
              <w:bottom w:w="85" w:type="dxa"/>
              <w:right w:w="85" w:type="dxa"/>
            </w:tcMar>
          </w:tcPr>
          <w:p>
            <w:pPr>
              <w:spacing w:after="20" w:line="245" w:lineRule="auto"/>
            </w:pPr>
            <w:r>
              <w:rPr>
                <w:b w:val="0"/>
                <w:sz w:val="20"/>
              </w:rPr>
              <w:t>No listing fee or commission in MVP; pay at clinic</w:t>
            </w:r>
          </w:p>
        </w:tc>
        <w:tc>
          <w:tcPr>
            <w:tcW w:type="dxa" w:w="4406"/>
            <w:vAlign w:val="center"/>
            <w:shd w:fill="FFFFFF"/>
            <w:tcMar>
              <w:top w:w="85" w:type="dxa"/>
              <w:left w:w="85" w:type="dxa"/>
              <w:bottom w:w="85" w:type="dxa"/>
              <w:right w:w="85" w:type="dxa"/>
            </w:tcMar>
          </w:tcPr>
          <w:p>
            <w:pPr>
              <w:spacing w:after="20" w:line="245" w:lineRule="auto"/>
            </w:pPr>
            <w:r>
              <w:rPr>
                <w:b w:val="0"/>
                <w:sz w:val="20"/>
              </w:rPr>
              <w:t>Arun or product owner before commercial terms</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Booking mode</w:t>
            </w:r>
          </w:p>
        </w:tc>
        <w:tc>
          <w:tcPr>
            <w:tcW w:type="dxa" w:w="3528"/>
            <w:vAlign w:val="center"/>
            <w:shd w:fill="F0F4F6"/>
            <w:tcMar>
              <w:top w:w="85" w:type="dxa"/>
              <w:left w:w="85" w:type="dxa"/>
              <w:bottom w:w="85" w:type="dxa"/>
              <w:right w:w="85" w:type="dxa"/>
            </w:tcMar>
          </w:tcPr>
          <w:p>
            <w:pPr>
              <w:spacing w:after="20" w:line="245" w:lineRule="auto"/>
            </w:pPr>
            <w:r>
              <w:rPr>
                <w:b w:val="0"/>
                <w:sz w:val="20"/>
              </w:rPr>
              <w:t>Instant confirmation; one practitioner per slot</w:t>
            </w:r>
          </w:p>
        </w:tc>
        <w:tc>
          <w:tcPr>
            <w:tcW w:type="dxa" w:w="4406"/>
            <w:vAlign w:val="center"/>
            <w:shd w:fill="F0F4F6"/>
            <w:tcMar>
              <w:top w:w="85" w:type="dxa"/>
              <w:left w:w="85" w:type="dxa"/>
              <w:bottom w:w="85" w:type="dxa"/>
              <w:right w:w="85" w:type="dxa"/>
            </w:tcMar>
          </w:tcPr>
          <w:p>
            <w:pPr>
              <w:spacing w:after="20" w:line="245" w:lineRule="auto"/>
            </w:pPr>
            <w:r>
              <w:rPr>
                <w:b w:val="0"/>
                <w:sz w:val="20"/>
              </w:rPr>
              <w:t>Product and operations before calendar build</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Cancellation rule</w:t>
            </w:r>
          </w:p>
        </w:tc>
        <w:tc>
          <w:tcPr>
            <w:tcW w:type="dxa" w:w="3528"/>
            <w:vAlign w:val="center"/>
            <w:shd w:fill="FFFFFF"/>
            <w:tcMar>
              <w:top w:w="85" w:type="dxa"/>
              <w:left w:w="85" w:type="dxa"/>
              <w:bottom w:w="85" w:type="dxa"/>
              <w:right w:w="85" w:type="dxa"/>
            </w:tcMar>
          </w:tcPr>
          <w:p>
            <w:pPr>
              <w:spacing w:after="20" w:line="245" w:lineRule="auto"/>
            </w:pPr>
            <w:r>
              <w:rPr>
                <w:b w:val="0"/>
                <w:sz w:val="20"/>
              </w:rPr>
              <w:t>12 hour self service cutoff; no platform penalty in MVP</w:t>
            </w:r>
          </w:p>
        </w:tc>
        <w:tc>
          <w:tcPr>
            <w:tcW w:type="dxa" w:w="4406"/>
            <w:vAlign w:val="center"/>
            <w:shd w:fill="FFFFFF"/>
            <w:tcMar>
              <w:top w:w="85" w:type="dxa"/>
              <w:left w:w="85" w:type="dxa"/>
              <w:bottom w:w="85" w:type="dxa"/>
              <w:right w:w="85" w:type="dxa"/>
            </w:tcMar>
          </w:tcPr>
          <w:p>
            <w:pPr>
              <w:spacing w:after="20" w:line="245" w:lineRule="auto"/>
            </w:pPr>
            <w:r>
              <w:rPr>
                <w:b w:val="0"/>
                <w:sz w:val="20"/>
              </w:rPr>
              <w:t>Product and operations before booking UAT</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National rollout</w:t>
            </w:r>
          </w:p>
        </w:tc>
        <w:tc>
          <w:tcPr>
            <w:tcW w:type="dxa" w:w="3528"/>
            <w:vAlign w:val="center"/>
            <w:shd w:fill="F0F4F6"/>
            <w:tcMar>
              <w:top w:w="85" w:type="dxa"/>
              <w:left w:w="85" w:type="dxa"/>
              <w:bottom w:w="85" w:type="dxa"/>
              <w:right w:w="85" w:type="dxa"/>
            </w:tcMar>
          </w:tcPr>
          <w:p>
            <w:pPr>
              <w:spacing w:after="20" w:line="245" w:lineRule="auto"/>
            </w:pPr>
            <w:r>
              <w:rPr>
                <w:b w:val="0"/>
                <w:sz w:val="20"/>
              </w:rPr>
              <w:t>National taxonomy; activate bookability by reviewed jurisdiction policy</w:t>
            </w:r>
          </w:p>
        </w:tc>
        <w:tc>
          <w:tcPr>
            <w:tcW w:type="dxa" w:w="4406"/>
            <w:vAlign w:val="center"/>
            <w:shd w:fill="F0F4F6"/>
            <w:tcMar>
              <w:top w:w="85" w:type="dxa"/>
              <w:left w:w="85" w:type="dxa"/>
              <w:bottom w:w="85" w:type="dxa"/>
              <w:right w:w="85" w:type="dxa"/>
            </w:tcMar>
          </w:tcPr>
          <w:p>
            <w:pPr>
              <w:spacing w:after="20" w:line="245" w:lineRule="auto"/>
            </w:pPr>
            <w:r>
              <w:rPr>
                <w:b w:val="0"/>
                <w:sz w:val="20"/>
              </w:rPr>
              <w:t>Operations and legal before enabling each jurisdiction</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Imported profiles</w:t>
            </w:r>
          </w:p>
        </w:tc>
        <w:tc>
          <w:tcPr>
            <w:tcW w:type="dxa" w:w="3528"/>
            <w:vAlign w:val="center"/>
            <w:shd w:fill="FFFFFF"/>
            <w:tcMar>
              <w:top w:w="85" w:type="dxa"/>
              <w:left w:w="85" w:type="dxa"/>
              <w:bottom w:w="85" w:type="dxa"/>
              <w:right w:w="85" w:type="dxa"/>
            </w:tcMar>
          </w:tcPr>
          <w:p>
            <w:pPr>
              <w:spacing w:after="20" w:line="245" w:lineRule="auto"/>
            </w:pPr>
            <w:r>
              <w:rPr>
                <w:b w:val="0"/>
                <w:sz w:val="20"/>
              </w:rPr>
              <w:t>Reviewed public business data; unclaimed and not bookable</w:t>
            </w:r>
          </w:p>
        </w:tc>
        <w:tc>
          <w:tcPr>
            <w:tcW w:type="dxa" w:w="4406"/>
            <w:vAlign w:val="center"/>
            <w:shd w:fill="FFFFFF"/>
            <w:tcMar>
              <w:top w:w="85" w:type="dxa"/>
              <w:left w:w="85" w:type="dxa"/>
              <w:bottom w:w="85" w:type="dxa"/>
              <w:right w:w="85" w:type="dxa"/>
            </w:tcMar>
          </w:tcPr>
          <w:p>
            <w:pPr>
              <w:spacing w:after="20" w:line="245" w:lineRule="auto"/>
            </w:pPr>
            <w:r>
              <w:rPr>
                <w:b w:val="0"/>
                <w:sz w:val="20"/>
              </w:rPr>
              <w:t>Product and legal before first import</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Minors and dependants</w:t>
            </w:r>
          </w:p>
        </w:tc>
        <w:tc>
          <w:tcPr>
            <w:tcW w:type="dxa" w:w="3528"/>
            <w:vAlign w:val="center"/>
            <w:shd w:fill="F0F4F6"/>
            <w:tcMar>
              <w:top w:w="85" w:type="dxa"/>
              <w:left w:w="85" w:type="dxa"/>
              <w:bottom w:w="85" w:type="dxa"/>
              <w:right w:w="85" w:type="dxa"/>
            </w:tcMar>
          </w:tcPr>
          <w:p>
            <w:pPr>
              <w:spacing w:after="20" w:line="245" w:lineRule="auto"/>
            </w:pPr>
            <w:r>
              <w:rPr>
                <w:b w:val="0"/>
                <w:sz w:val="20"/>
              </w:rPr>
              <w:t>Enable only after guardian verification is implemented</w:t>
            </w:r>
          </w:p>
        </w:tc>
        <w:tc>
          <w:tcPr>
            <w:tcW w:type="dxa" w:w="4406"/>
            <w:vAlign w:val="center"/>
            <w:shd w:fill="F0F4F6"/>
            <w:tcMar>
              <w:top w:w="85" w:type="dxa"/>
              <w:left w:w="85" w:type="dxa"/>
              <w:bottom w:w="85" w:type="dxa"/>
              <w:right w:w="85" w:type="dxa"/>
            </w:tcMar>
          </w:tcPr>
          <w:p>
            <w:pPr>
              <w:spacing w:after="20" w:line="245" w:lineRule="auto"/>
            </w:pPr>
            <w:r>
              <w:rPr>
                <w:b w:val="0"/>
                <w:sz w:val="20"/>
              </w:rPr>
              <w:t>Product, privacy and legal before launch</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Service modes</w:t>
            </w:r>
          </w:p>
        </w:tc>
        <w:tc>
          <w:tcPr>
            <w:tcW w:type="dxa" w:w="3528"/>
            <w:vAlign w:val="center"/>
            <w:shd w:fill="FFFFFF"/>
            <w:tcMar>
              <w:top w:w="85" w:type="dxa"/>
              <w:left w:w="85" w:type="dxa"/>
              <w:bottom w:w="85" w:type="dxa"/>
              <w:right w:w="85" w:type="dxa"/>
            </w:tcMar>
          </w:tcPr>
          <w:p>
            <w:pPr>
              <w:spacing w:after="20" w:line="245" w:lineRule="auto"/>
            </w:pPr>
            <w:r>
              <w:rPr>
                <w:b w:val="0"/>
                <w:sz w:val="20"/>
              </w:rPr>
              <w:t>Clinic only at launch</w:t>
            </w:r>
          </w:p>
        </w:tc>
        <w:tc>
          <w:tcPr>
            <w:tcW w:type="dxa" w:w="4406"/>
            <w:vAlign w:val="center"/>
            <w:shd w:fill="FFFFFF"/>
            <w:tcMar>
              <w:top w:w="85" w:type="dxa"/>
              <w:left w:w="85" w:type="dxa"/>
              <w:bottom w:w="85" w:type="dxa"/>
              <w:right w:w="85" w:type="dxa"/>
            </w:tcMar>
          </w:tcPr>
          <w:p>
            <w:pPr>
              <w:spacing w:after="20" w:line="245" w:lineRule="auto"/>
            </w:pPr>
            <w:r>
              <w:rPr>
                <w:b w:val="0"/>
                <w:sz w:val="20"/>
              </w:rPr>
              <w:t>Product before estimation</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Notifications</w:t>
            </w:r>
          </w:p>
        </w:tc>
        <w:tc>
          <w:tcPr>
            <w:tcW w:type="dxa" w:w="3528"/>
            <w:vAlign w:val="center"/>
            <w:shd w:fill="F0F4F6"/>
            <w:tcMar>
              <w:top w:w="85" w:type="dxa"/>
              <w:left w:w="85" w:type="dxa"/>
              <w:bottom w:w="85" w:type="dxa"/>
              <w:right w:w="85" w:type="dxa"/>
            </w:tcMar>
          </w:tcPr>
          <w:p>
            <w:pPr>
              <w:spacing w:after="20" w:line="245" w:lineRule="auto"/>
            </w:pPr>
            <w:r>
              <w:rPr>
                <w:b w:val="0"/>
                <w:sz w:val="20"/>
              </w:rPr>
              <w:t>In app plus chosen SMS or email vendor; WhatsApp optional</w:t>
            </w:r>
          </w:p>
        </w:tc>
        <w:tc>
          <w:tcPr>
            <w:tcW w:type="dxa" w:w="4406"/>
            <w:vAlign w:val="center"/>
            <w:shd w:fill="F0F4F6"/>
            <w:tcMar>
              <w:top w:w="85" w:type="dxa"/>
              <w:left w:w="85" w:type="dxa"/>
              <w:bottom w:w="85" w:type="dxa"/>
              <w:right w:w="85" w:type="dxa"/>
            </w:tcMar>
          </w:tcPr>
          <w:p>
            <w:pPr>
              <w:spacing w:after="20" w:line="245" w:lineRule="auto"/>
            </w:pPr>
            <w:r>
              <w:rPr>
                <w:b w:val="0"/>
                <w:sz w:val="20"/>
              </w:rPr>
              <w:t>Engineering and operations before integration</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Hosting and data region</w:t>
            </w:r>
          </w:p>
        </w:tc>
        <w:tc>
          <w:tcPr>
            <w:tcW w:type="dxa" w:w="3528"/>
            <w:vAlign w:val="center"/>
            <w:shd w:fill="FFFFFF"/>
            <w:tcMar>
              <w:top w:w="85" w:type="dxa"/>
              <w:left w:w="85" w:type="dxa"/>
              <w:bottom w:w="85" w:type="dxa"/>
              <w:right w:w="85" w:type="dxa"/>
            </w:tcMar>
          </w:tcPr>
          <w:p>
            <w:pPr>
              <w:spacing w:after="20" w:line="245" w:lineRule="auto"/>
            </w:pPr>
            <w:r>
              <w:rPr>
                <w:b w:val="0"/>
                <w:sz w:val="20"/>
              </w:rPr>
              <w:t>Choose supported Neon and application regions after vendor assessment</w:t>
            </w:r>
          </w:p>
        </w:tc>
        <w:tc>
          <w:tcPr>
            <w:tcW w:type="dxa" w:w="4406"/>
            <w:vAlign w:val="center"/>
            <w:shd w:fill="FFFFFF"/>
            <w:tcMar>
              <w:top w:w="85" w:type="dxa"/>
              <w:left w:w="85" w:type="dxa"/>
              <w:bottom w:w="85" w:type="dxa"/>
              <w:right w:w="85" w:type="dxa"/>
            </w:tcMar>
          </w:tcPr>
          <w:p>
            <w:pPr>
              <w:spacing w:after="20" w:line="245" w:lineRule="auto"/>
            </w:pPr>
            <w:r>
              <w:rPr>
                <w:b w:val="0"/>
                <w:sz w:val="20"/>
              </w:rPr>
              <w:t>Engineering and privacy before provisioning</w:t>
            </w:r>
          </w:p>
        </w:tc>
      </w:tr>
      <w:tr>
        <w:trPr>
          <w:cantSplit/>
        </w:trPr>
        <w:tc>
          <w:tcPr>
            <w:tcW w:type="dxa" w:w="2232"/>
            <w:vAlign w:val="center"/>
            <w:shd w:fill="F0F4F6"/>
            <w:tcMar>
              <w:top w:w="85" w:type="dxa"/>
              <w:left w:w="85" w:type="dxa"/>
              <w:bottom w:w="85" w:type="dxa"/>
              <w:right w:w="85" w:type="dxa"/>
            </w:tcMar>
          </w:tcPr>
          <w:p>
            <w:pPr>
              <w:spacing w:after="20" w:line="245" w:lineRule="auto"/>
            </w:pPr>
            <w:r>
              <w:rPr>
                <w:b w:val="0"/>
                <w:sz w:val="20"/>
              </w:rPr>
              <w:t>Reviews and offers</w:t>
            </w:r>
          </w:p>
        </w:tc>
        <w:tc>
          <w:tcPr>
            <w:tcW w:type="dxa" w:w="3528"/>
            <w:vAlign w:val="center"/>
            <w:shd w:fill="F0F4F6"/>
            <w:tcMar>
              <w:top w:w="85" w:type="dxa"/>
              <w:left w:w="85" w:type="dxa"/>
              <w:bottom w:w="85" w:type="dxa"/>
              <w:right w:w="85" w:type="dxa"/>
            </w:tcMar>
          </w:tcPr>
          <w:p>
            <w:pPr>
              <w:spacing w:after="20" w:line="245" w:lineRule="auto"/>
            </w:pPr>
            <w:r>
              <w:rPr>
                <w:b w:val="0"/>
                <w:sz w:val="20"/>
              </w:rPr>
              <w:t>Moderated; completed booking reviews; nonstacking offers</w:t>
            </w:r>
          </w:p>
        </w:tc>
        <w:tc>
          <w:tcPr>
            <w:tcW w:type="dxa" w:w="4406"/>
            <w:vAlign w:val="center"/>
            <w:shd w:fill="F0F4F6"/>
            <w:tcMar>
              <w:top w:w="85" w:type="dxa"/>
              <w:left w:w="85" w:type="dxa"/>
              <w:bottom w:w="85" w:type="dxa"/>
              <w:right w:w="85" w:type="dxa"/>
            </w:tcMar>
          </w:tcPr>
          <w:p>
            <w:pPr>
              <w:spacing w:after="20" w:line="245" w:lineRule="auto"/>
            </w:pPr>
            <w:r>
              <w:rPr>
                <w:b w:val="0"/>
                <w:sz w:val="20"/>
              </w:rPr>
              <w:t>Operations before content policy signoff</w:t>
            </w:r>
          </w:p>
        </w:tc>
      </w:tr>
      <w:tr>
        <w:trPr>
          <w:cantSplit/>
        </w:trPr>
        <w:tc>
          <w:tcPr>
            <w:tcW w:type="dxa" w:w="2232"/>
            <w:vAlign w:val="center"/>
            <w:shd w:fill="FFFFFF"/>
            <w:tcMar>
              <w:top w:w="85" w:type="dxa"/>
              <w:left w:w="85" w:type="dxa"/>
              <w:bottom w:w="85" w:type="dxa"/>
              <w:right w:w="85" w:type="dxa"/>
            </w:tcMar>
          </w:tcPr>
          <w:p>
            <w:pPr>
              <w:spacing w:after="20" w:line="245" w:lineRule="auto"/>
            </w:pPr>
            <w:r>
              <w:rPr>
                <w:b w:val="0"/>
                <w:sz w:val="20"/>
              </w:rPr>
              <w:t>Payments and taxes</w:t>
            </w:r>
          </w:p>
        </w:tc>
        <w:tc>
          <w:tcPr>
            <w:tcW w:type="dxa" w:w="3528"/>
            <w:vAlign w:val="center"/>
            <w:shd w:fill="FFFFFF"/>
            <w:tcMar>
              <w:top w:w="85" w:type="dxa"/>
              <w:left w:w="85" w:type="dxa"/>
              <w:bottom w:w="85" w:type="dxa"/>
              <w:right w:w="85" w:type="dxa"/>
            </w:tcMar>
          </w:tcPr>
          <w:p>
            <w:pPr>
              <w:spacing w:after="20" w:line="245" w:lineRule="auto"/>
            </w:pPr>
            <w:r>
              <w:rPr>
                <w:b w:val="0"/>
                <w:sz w:val="20"/>
              </w:rPr>
              <w:t>Deferred; choose collection, invoicing, tax and settlement responsibility</w:t>
            </w:r>
          </w:p>
        </w:tc>
        <w:tc>
          <w:tcPr>
            <w:tcW w:type="dxa" w:w="4406"/>
            <w:vAlign w:val="center"/>
            <w:shd w:fill="FFFFFF"/>
            <w:tcMar>
              <w:top w:w="85" w:type="dxa"/>
              <w:left w:w="85" w:type="dxa"/>
              <w:bottom w:w="85" w:type="dxa"/>
              <w:right w:w="85" w:type="dxa"/>
            </w:tcMar>
          </w:tcPr>
          <w:p>
            <w:pPr>
              <w:spacing w:after="20" w:line="245" w:lineRule="auto"/>
            </w:pPr>
            <w:r>
              <w:rPr>
                <w:b w:val="0"/>
                <w:sz w:val="20"/>
              </w:rPr>
              <w:t>Product, finance and legal before R2</w:t>
            </w:r>
          </w:p>
        </w:tc>
      </w:tr>
    </w:tbl>
    <w:p>
      <w:pPr>
        <w:spacing w:after="0" w:line="60" w:lineRule="exact"/>
      </w:pPr>
      <w:r>
        <w:rPr>
          <w:sz w:val="6"/>
        </w:rPr>
      </w:r>
    </w:p>
    <w:p>
      <w:pPr>
        <w:pStyle w:val="Heading2"/>
      </w:pPr>
      <w:r>
        <w:t>Change control</w:t>
      </w:r>
    </w:p>
    <w:p>
      <w:r>
        <w:rPr>
          <w:b w:val="0"/>
        </w:rPr>
        <w:t>Treat a change to booking capacity, payment responsibility, sensitive data collection or credential eligibility as an SRS change, with version, rationale, affected requirements, migrations and tests. Estimate delivery dates after the team, wireframes, vendors and decision register are confirmed. National data acquisition and manual verification effort must be estimated separately from software development.</w:t>
      </w:r>
    </w:p>
    <w:p>
      <w:pPr>
        <w:pStyle w:val="Heading1"/>
        <w:pageBreakBefore/>
      </w:pPr>
      <w:r>
        <w:t>31 Source register and implementation notes</w:t>
      </w:r>
    </w:p>
    <w:p>
      <w:pPr>
        <w:pStyle w:val="Heading2"/>
      </w:pPr>
      <w:r>
        <w:t>Primary sources</w:t>
      </w:r>
    </w:p>
    <w:p>
      <w:r>
        <w:rPr>
          <w:b w:val="0"/>
        </w:rPr>
        <w:t>Sources were checked on 13 October 2026. They support the specific technical or regulatory observations cited in this SRS. Product defaults and performance targets are proposed requirements, not claims taken from these sources. Recheck current guidance at implementation and release.</w:t>
      </w:r>
    </w:p>
    <w:p>
      <w:r>
        <w:rPr>
          <w:b w:val="0"/>
        </w:rPr>
      </w:r>
      <w:r>
        <w:rPr>
          <w:b/>
        </w:rPr>
        <w:t>S1 NCAHP Allied health professional enrolment FAQ</w:t>
      </w:r>
      <w:r>
        <w:rPr>
          <w:b w:val="0"/>
        </w:rPr>
      </w:r>
    </w:p>
    <w:p>
      <w:pPr>
        <w:spacing w:after="140"/>
      </w:pPr>
      <w:hyperlink r:id="rId10">
        <w:r>
          <w:rPr>
            <w:sz w:val="18"/>
          </w:rPr>
          <w:t>https://ahpr.abdm.gov.in/faq</w:t>
        </w:r>
      </w:hyperlink>
    </w:p>
    <w:p>
      <w:r>
        <w:rPr>
          <w:b w:val="0"/>
        </w:rPr>
      </w:r>
      <w:r>
        <w:rPr>
          <w:b/>
        </w:rPr>
        <w:t>S2 MeitY Digital Personal Data Protection Rules 2025</w:t>
      </w:r>
      <w:r>
        <w:rPr>
          <w:b w:val="0"/>
        </w:rPr>
      </w:r>
    </w:p>
    <w:p>
      <w:pPr>
        <w:spacing w:after="140"/>
      </w:pPr>
      <w:hyperlink r:id="rId11">
        <w:r>
          <w:rPr>
            <w:sz w:val="18"/>
          </w:rPr>
          <w:t>https://www.meity.gov.in/static/uploads/2025/11/53450e6e5dc0bfa85ebd78686cadad39.pdf</w:t>
        </w:r>
      </w:hyperlink>
    </w:p>
    <w:p>
      <w:r>
        <w:rPr>
          <w:b w:val="0"/>
        </w:rPr>
      </w:r>
      <w:r>
        <w:rPr>
          <w:b/>
        </w:rPr>
        <w:t>S3 MeitY DPDP Act commencement notification</w:t>
      </w:r>
      <w:r>
        <w:rPr>
          <w:b w:val="0"/>
        </w:rPr>
      </w:r>
    </w:p>
    <w:p>
      <w:pPr>
        <w:spacing w:after="140"/>
      </w:pPr>
      <w:hyperlink r:id="rId12">
        <w:r>
          <w:rPr>
            <w:sz w:val="18"/>
          </w:rPr>
          <w:t>https://www.meity.gov.in/static/uploads/2025/11/c56ceae6c383460ca69577428d36828b.pdf</w:t>
        </w:r>
      </w:hyperlink>
    </w:p>
    <w:p>
      <w:r>
        <w:rPr>
          <w:b w:val="0"/>
        </w:rPr>
      </w:r>
      <w:r>
        <w:rPr>
          <w:b/>
        </w:rPr>
        <w:t>S4 Neon documentation on connection pooling</w:t>
      </w:r>
      <w:r>
        <w:rPr>
          <w:b w:val="0"/>
        </w:rPr>
      </w:r>
    </w:p>
    <w:p>
      <w:pPr>
        <w:spacing w:after="140"/>
      </w:pPr>
      <w:hyperlink r:id="rId13">
        <w:r>
          <w:rPr>
            <w:sz w:val="18"/>
          </w:rPr>
          <w:t>https://neon.com/docs/connect/connection-pooling</w:t>
        </w:r>
      </w:hyperlink>
    </w:p>
    <w:p>
      <w:r>
        <w:rPr>
          <w:b w:val="0"/>
        </w:rPr>
      </w:r>
      <w:r>
        <w:rPr>
          <w:b/>
        </w:rPr>
        <w:t>S5 Neon documentation on PostgreSQL extensions</w:t>
      </w:r>
      <w:r>
        <w:rPr>
          <w:b w:val="0"/>
        </w:rPr>
      </w:r>
    </w:p>
    <w:p>
      <w:pPr>
        <w:spacing w:after="140"/>
      </w:pPr>
      <w:hyperlink r:id="rId14">
        <w:r>
          <w:rPr>
            <w:sz w:val="18"/>
          </w:rPr>
          <w:t>https://neon.com/docs/extensions/pg-extensions</w:t>
        </w:r>
      </w:hyperlink>
    </w:p>
    <w:p>
      <w:r>
        <w:rPr>
          <w:b w:val="0"/>
        </w:rPr>
      </w:r>
      <w:r>
        <w:rPr>
          <w:b/>
        </w:rPr>
        <w:t>S6 Neon documentation on branching</w:t>
      </w:r>
      <w:r>
        <w:rPr>
          <w:b w:val="0"/>
        </w:rPr>
      </w:r>
    </w:p>
    <w:p>
      <w:pPr>
        <w:spacing w:after="140"/>
      </w:pPr>
      <w:hyperlink r:id="rId15">
        <w:r>
          <w:rPr>
            <w:sz w:val="18"/>
          </w:rPr>
          <w:t>https://neon.com/docs/introduction/branching</w:t>
        </w:r>
      </w:hyperlink>
    </w:p>
    <w:p>
      <w:r>
        <w:rPr>
          <w:b w:val="0"/>
        </w:rPr>
      </w:r>
      <w:r>
        <w:rPr>
          <w:b/>
        </w:rPr>
        <w:t>S7 PostgreSQL documentation on constraints</w:t>
      </w:r>
      <w:r>
        <w:rPr>
          <w:b w:val="0"/>
        </w:rPr>
      </w:r>
    </w:p>
    <w:p>
      <w:pPr>
        <w:spacing w:after="140"/>
      </w:pPr>
      <w:hyperlink r:id="rId16">
        <w:r>
          <w:rPr>
            <w:sz w:val="18"/>
          </w:rPr>
          <w:t>https://www.postgresql.org/docs/current/ddl-constraints.html</w:t>
        </w:r>
      </w:hyperlink>
    </w:p>
    <w:p>
      <w:r>
        <w:rPr>
          <w:b w:val="0"/>
        </w:rPr>
      </w:r>
      <w:r>
        <w:rPr>
          <w:b/>
        </w:rPr>
        <w:t>S8 Google Search Central documentation</w:t>
      </w:r>
      <w:r>
        <w:rPr>
          <w:b w:val="0"/>
        </w:rPr>
      </w:r>
    </w:p>
    <w:p>
      <w:pPr>
        <w:spacing w:after="140"/>
      </w:pPr>
      <w:hyperlink r:id="rId17">
        <w:r>
          <w:rPr>
            <w:sz w:val="18"/>
          </w:rPr>
          <w:t>https://developers.google.com/search/docs/appearance/structured-data/intro-structured-data</w:t>
        </w:r>
      </w:hyperlink>
    </w:p>
    <w:p>
      <w:r>
        <w:rPr>
          <w:b w:val="0"/>
        </w:rPr>
      </w:r>
      <w:r>
        <w:rPr>
          <w:b/>
        </w:rPr>
        <w:t>S9 W3C Web Content Accessibility Guidelines 2.2</w:t>
      </w:r>
      <w:r>
        <w:rPr>
          <w:b w:val="0"/>
        </w:rPr>
      </w:r>
    </w:p>
    <w:p>
      <w:pPr>
        <w:spacing w:after="140"/>
      </w:pPr>
      <w:hyperlink r:id="rId18">
        <w:r>
          <w:rPr>
            <w:sz w:val="18"/>
          </w:rPr>
          <w:t>https://www.w3.org/TR/WCAG22/</w:t>
        </w:r>
      </w:hyperlink>
    </w:p>
    <w:sectPr w:rsidR="00FC693F" w:rsidRPr="0006063C" w:rsidSect="00034616">
      <w:footerReference w:type="default" r:id="rId9"/>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The Physio Index  |  SRS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hpr.abdm.gov.in/faq" TargetMode="External"/><Relationship Id="rId11" Type="http://schemas.openxmlformats.org/officeDocument/2006/relationships/hyperlink" Target="https://www.meity.gov.in/static/uploads/2025/11/53450e6e5dc0bfa85ebd78686cadad39.pdf" TargetMode="External"/><Relationship Id="rId12" Type="http://schemas.openxmlformats.org/officeDocument/2006/relationships/hyperlink" Target="https://www.meity.gov.in/static/uploads/2025/11/c56ceae6c383460ca69577428d36828b.pdf" TargetMode="External"/><Relationship Id="rId13" Type="http://schemas.openxmlformats.org/officeDocument/2006/relationships/hyperlink" Target="https://neon.com/docs/connect/connection-pooling" TargetMode="External"/><Relationship Id="rId14" Type="http://schemas.openxmlformats.org/officeDocument/2006/relationships/hyperlink" Target="https://neon.com/docs/extensions/pg-extensions" TargetMode="External"/><Relationship Id="rId15" Type="http://schemas.openxmlformats.org/officeDocument/2006/relationships/hyperlink" Target="https://neon.com/docs/introduction/branching" TargetMode="External"/><Relationship Id="rId16" Type="http://schemas.openxmlformats.org/officeDocument/2006/relationships/hyperlink" Target="https://www.postgresql.org/docs/current/ddl-constraints.html" TargetMode="External"/><Relationship Id="rId17" Type="http://schemas.openxmlformats.org/officeDocument/2006/relationships/hyperlink" Target="https://developers.google.com/search/docs/appearance/structured-data/intro-structured-data" TargetMode="External"/><Relationship Id="rId1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Physio Index Software Requirements Specification</dc:title>
  <dc:subject>India wide physiotherapist directory and appointment platform</dc:subject>
  <dc:creator>Arun Mahendran</dc:creator>
  <cp:keywords>SRS, physiotherapy, Neon, appointments, directory</cp:keywords>
  <dc:description>generated by python-docx</dc:description>
  <cp:lastModifiedBy/>
  <cp:revision>1</cp:revision>
  <dcterms:created xsi:type="dcterms:W3CDTF">2013-12-23T23:15:00Z</dcterms:created>
  <dcterms:modified xsi:type="dcterms:W3CDTF">2013-12-23T23:15:00Z</dcterms:modified>
  <cp:category/>
</cp:coreProperties>
</file>