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jc w:val="center"/>
      </w:pPr>
      <w:r>
        <w:rPr>
          <w:rFonts w:ascii="Arial" w:cs="Arial" w:eastAsia="Arial" w:hAnsi="Arial"/>
          <w:b/>
          <w:bCs/>
          <w:color w:val="1F3864"/>
          <w:sz w:val="48"/>
          <w:szCs w:val="48"/>
        </w:rPr>
        <w:t xml:space="preserve">ANÁLISIS COMPARADO INTERNACIONAL</w:t>
      </w:r>
    </w:p>
    <w:p>
      <w:pPr>
        <w:spacing w:after="80" w:before="0"/>
        <w:jc w:val="center"/>
      </w:pPr>
      <w:r>
        <w:rPr>
          <w:rFonts w:ascii="Arial" w:cs="Arial" w:eastAsia="Arial" w:hAnsi="Arial"/>
          <w:i/>
          <w:iCs/>
          <w:color w:val="444444"/>
          <w:sz w:val="26"/>
          <w:szCs w:val="26"/>
        </w:rPr>
        <w:t xml:space="preserve">Modelos de Gobierno Digital, Transparencia e Integridad Institucional</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0" w:space="0"/>
              <w:left w:val="single" w:color="FFFFFF" w:sz="0" w:space="0"/>
              <w:bottom w:val="single" w:color="FFFFFF" w:sz="0" w:space="0"/>
              <w:right w:val="single" w:color="FFFFFF" w:sz="0" w:space="0"/>
            </w:tcBorders>
            <w:shd w:fill="1F3864" w:val="clear"/>
            <w:tcMar>
              <w:top w:type="dxa" w:w="200"/>
              <w:left w:type="dxa" w:w="400"/>
              <w:bottom w:type="dxa" w:w="200"/>
              <w:right w:type="dxa" w:w="400"/>
            </w:tcMar>
          </w:tcPr>
          <w:p>
            <w:pPr>
              <w:spacing w:after="80" w:before="0"/>
              <w:jc w:val="center"/>
            </w:pPr>
            <w:r>
              <w:rPr>
                <w:rFonts w:ascii="Arial" w:cs="Arial" w:eastAsia="Arial" w:hAnsi="Arial"/>
                <w:b/>
                <w:bCs/>
                <w:color w:val="FFFFFF"/>
                <w:sz w:val="26"/>
                <w:szCs w:val="26"/>
              </w:rPr>
              <w:t xml:space="preserve">🇪🇪  ESTONIA     🇨🇱  CHILE     🇺🇾  URUGUAY     🇰🇷  COREA DEL SUR</w:t>
            </w:r>
          </w:p>
          <w:p>
            <w:pPr>
              <w:spacing w:after="0" w:before="0"/>
              <w:jc w:val="center"/>
            </w:pPr>
            <w:r>
              <w:rPr>
                <w:rFonts w:ascii="Arial" w:cs="Arial" w:eastAsia="Arial" w:hAnsi="Arial"/>
                <w:color w:val="AECBF0"/>
                <w:sz w:val="20"/>
                <w:szCs w:val="20"/>
              </w:rPr>
              <w:t xml:space="preserve">Vinculación Estratégica con Ecuador y el Sistema SNIP</w:t>
            </w:r>
          </w:p>
        </w:tc>
      </w:tr>
    </w:tbl>
    <w:p>
      <w:pPr>
        <w:spacing w:after="160" w:before="0"/>
      </w:pPr>
      <w:r>
        <w:rPr>
          <w:sz w:val="22"/>
          <w:szCs w:val="22"/>
        </w:rPr>
        <w:t xml:space="preserve"/>
      </w:r>
    </w:p>
    <w:p>
      <w:pPr>
        <w:spacing w:after="0" w:before="0"/>
        <w:jc w:val="center"/>
      </w:pPr>
      <w:r>
        <w:rPr>
          <w:rFonts w:ascii="Arial" w:cs="Arial" w:eastAsia="Arial" w:hAnsi="Arial"/>
          <w:color w:val="888888"/>
          <w:sz w:val="18"/>
          <w:szCs w:val="18"/>
        </w:rPr>
        <w:t xml:space="preserve">Documento de Análisis Estratégico  |  República del Ecuador</w:t>
      </w:r>
    </w:p>
    <w:p>
      <w:r>
        <w:br w:type="page"/>
      </w:r>
    </w:p>
    <w:p>
      <w:pPr>
        <w:pStyle w:val="Heading1"/>
        <w:spacing w:after="200" w:before="400"/>
      </w:pPr>
      <w:r>
        <w:rPr>
          <w:rFonts w:ascii="Arial" w:cs="Arial" w:eastAsia="Arial" w:hAnsi="Arial"/>
          <w:b/>
          <w:bCs/>
          <w:color w:val="1F3864"/>
          <w:sz w:val="38"/>
          <w:szCs w:val="38"/>
        </w:rPr>
        <w:t xml:space="preserve">INTRODUCCIÓN</w:t>
      </w:r>
    </w:p>
    <w:p>
      <w:pPr>
        <w:spacing w:after="80" w:before="80"/>
      </w:pPr>
      <w:r>
        <w:rPr>
          <w:rFonts w:ascii="Arial" w:cs="Arial" w:eastAsia="Arial" w:hAnsi="Arial"/>
          <w:sz w:val="22"/>
          <w:szCs w:val="22"/>
        </w:rPr>
        <w:t xml:space="preserve">Ningún sistema de integridad pública nace de la nada. Los modelos más exitosos del mundo en gobierno digital, transparencia institucional y lucha contra la corrupción han pasado por décadas de diseño, error, corrección y mejora. Cuatro países destacan como referencias obligadas para cualquier proyecto como el SNIP ecuatoriano.</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space="0"/>
              <w:left w:val="single" w:color="FFFFFF" w:sz="0" w:space="0"/>
              <w:bottom w:val="single" w:color="FFFFFF" w:sz="0" w:space="0"/>
              <w:right w:val="single" w:color="FFFFFF" w:sz="0" w:space="0"/>
            </w:tcBorders>
            <w:shd w:fill="1F3864" w:val="clear"/>
            <w:tcMar>
              <w:top w:type="dxa" w:w="140"/>
              <w:left w:type="dxa" w:w="220"/>
              <w:bottom w:type="dxa" w:w="140"/>
              <w:right w:type="dxa" w:w="220"/>
            </w:tcMar>
          </w:tcPr>
          <w:p>
            <w:pPr>
              <w:spacing w:after="0" w:before="0"/>
            </w:pPr>
            <w:r>
              <w:rPr>
                <w:rFonts w:ascii="Arial" w:cs="Arial" w:eastAsia="Arial" w:hAnsi="Arial"/>
                <w:b/>
                <w:bCs/>
                <w:color w:val="FFFFFF"/>
                <w:sz w:val="22"/>
                <w:szCs w:val="22"/>
              </w:rPr>
              <w:t xml:space="preserve">CRITERIO DE SELECCIÓN: Estonia (digitalización total del Estado), Chile (transparencia latinoamericana), Uruguay (gobierno digital en contexto regional similar), Corea del Sur (tecnología anticorrupción de alto impacto).</w:t>
            </w:r>
          </w:p>
        </w:tc>
      </w:tr>
    </w:tbl>
    <w:p>
      <w:pPr>
        <w:spacing w:after="160" w:before="0"/>
      </w:pPr>
      <w:r>
        <w:rPr>
          <w:sz w:val="22"/>
          <w:szCs w:val="22"/>
        </w:rPr>
        <w:t xml:space="preserve"/>
      </w:r>
    </w:p>
    <w:p>
      <w:pPr>
        <w:spacing w:after="80" w:before="80"/>
      </w:pPr>
      <w:r>
        <w:rPr>
          <w:rFonts w:ascii="Arial" w:cs="Arial" w:eastAsia="Arial" w:hAnsi="Arial"/>
          <w:sz w:val="22"/>
          <w:szCs w:val="22"/>
        </w:rPr>
        <w:t xml:space="preserve">Este análisis no busca copiar modelos. Busca identificar qué funcionó, qué falló, por qué, y qué lecciones concretas puede aplicar Ecuador en el diseño del SNIP.</w:t>
      </w:r>
    </w:p>
    <w:p>
      <w:pPr>
        <w:spacing w:after="160" w:before="0"/>
      </w:pPr>
      <w:r>
        <w:rPr>
          <w:sz w:val="22"/>
          <w:szCs w:val="2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2400"/>
        <w:gridCol w:w="3360"/>
      </w:tblGrid>
      <w:tr>
        <w:tc>
          <w:tcPr>
            <w:tcW w:type="dxa" w:w="14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PAÍS</w:t>
            </w:r>
          </w:p>
        </w:tc>
        <w:tc>
          <w:tcPr>
            <w:tcW w:type="dxa" w:w="28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SISTEMA CLAVE</w:t>
            </w:r>
          </w:p>
        </w:tc>
        <w:tc>
          <w:tcPr>
            <w:tcW w:type="dxa" w:w="12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AÑO INICIO</w:t>
            </w:r>
          </w:p>
        </w:tc>
        <w:tc>
          <w:tcPr>
            <w:tcW w:type="dxa" w:w="24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ÍNDICE PERCEPCIÓN CORRUPCIÓN 2023</w:t>
            </w:r>
          </w:p>
        </w:tc>
        <w:tc>
          <w:tcPr>
            <w:tcW w:type="dxa" w:w="336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LOGRO PRINCIPAL</w:t>
            </w:r>
          </w:p>
        </w:tc>
      </w:tr>
      <w:tr>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Estonia 🇪🇪</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X-Road / e-Estonia</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2001</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Score 76 / Puesto 12</w:t>
            </w:r>
          </w:p>
        </w:tc>
        <w:tc>
          <w:tcPr>
            <w:tcW w:type="dxa" w:w="33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Estado 100% digital e interoperable</w:t>
            </w:r>
          </w:p>
        </w:tc>
      </w:tr>
      <w:tr>
        <w:tc>
          <w:tcPr>
            <w:tcW w:type="dxa" w:w="1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Chile 🇨🇱</w:t>
            </w:r>
          </w:p>
        </w:tc>
        <w:tc>
          <w:tcPr>
            <w:tcW w:type="dxa" w:w="2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Sistema de Compras Públicas ChileCompra</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2003</w:t>
            </w:r>
          </w:p>
        </w:tc>
        <w:tc>
          <w:tcPr>
            <w:tcW w:type="dxa" w:w="2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Score 67 / Puesto 27</w:t>
            </w:r>
          </w:p>
        </w:tc>
        <w:tc>
          <w:tcPr>
            <w:tcW w:type="dxa" w:w="33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Transparencia en contratación pública</w:t>
            </w:r>
          </w:p>
        </w:tc>
      </w:tr>
      <w:tr>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Uruguay 🇺🇾</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AGESIC / Portal del Estado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2005</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Score 73 / Puesto 14</w:t>
            </w:r>
          </w:p>
        </w:tc>
        <w:tc>
          <w:tcPr>
            <w:tcW w:type="dxa" w:w="33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Gobierno digital más avanzado de AL</w:t>
            </w:r>
          </w:p>
        </w:tc>
      </w:tr>
      <w:tr>
        <w:tc>
          <w:tcPr>
            <w:tcW w:type="dxa" w:w="1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Corea del Sur 🇰🇷</w:t>
            </w:r>
          </w:p>
        </w:tc>
        <w:tc>
          <w:tcPr>
            <w:tcW w:type="dxa" w:w="2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OPEN / KPAS</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1999</w:t>
            </w:r>
          </w:p>
        </w:tc>
        <w:tc>
          <w:tcPr>
            <w:tcW w:type="dxa" w:w="2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Score 63 / Puesto 32</w:t>
            </w:r>
          </w:p>
        </w:tc>
        <w:tc>
          <w:tcPr>
            <w:tcW w:type="dxa" w:w="33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Anticorrupción digital de primera generación</w:t>
            </w:r>
          </w:p>
        </w:tc>
      </w:tr>
      <w:tr>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Ecuador 🇪🇨</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SNIP (propuesto)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Score 34 / Puesto 115</w:t>
            </w:r>
          </w:p>
        </w:tc>
        <w:tc>
          <w:tcPr>
            <w:tcW w:type="dxa" w:w="33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Sistema en diseño institucional</w:t>
            </w:r>
          </w:p>
        </w:tc>
      </w:tr>
    </w:tbl>
    <w:p>
      <w:pPr>
        <w:spacing w:after="160" w:before="0"/>
      </w:pPr>
      <w:r>
        <w:rPr>
          <w:sz w:val="22"/>
          <w:szCs w:val="22"/>
        </w:rPr>
        <w:t xml:space="preserve"/>
      </w:r>
    </w:p>
    <w:p>
      <w:pPr>
        <w:spacing w:after="80" w:before="80"/>
      </w:pPr>
      <w:r>
        <w:rPr>
          <w:rFonts w:ascii="Arial" w:cs="Arial" w:eastAsia="Arial" w:hAnsi="Arial"/>
          <w:i/>
          <w:iCs/>
          <w:color w:val="555555"/>
          <w:sz w:val="22"/>
          <w:szCs w:val="22"/>
        </w:rPr>
        <w:t xml:space="preserve">Fuente de referencia: Índice de Percepción de la Corrupción — Transparency International. Escala 0 (muy corrupto) a 100 (muy limpio).</w:t>
      </w:r>
    </w:p>
    <w:p>
      <w:pPr>
        <w:spacing w:after="16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0" w:space="0"/>
              <w:left w:val="single" w:color="FFFFFF" w:sz="0" w:space="0"/>
              <w:bottom w:val="single" w:color="FFFFFF" w:sz="0" w:space="0"/>
              <w:right w:val="single" w:color="FFFFFF" w:sz="0" w:space="0"/>
            </w:tcBorders>
            <w:shd w:fill="005B99" w:val="clear"/>
            <w:tcMar>
              <w:top w:type="dxa" w:w="160"/>
              <w:left w:type="dxa" w:w="160"/>
              <w:bottom w:type="dxa" w:w="160"/>
              <w:right w:type="dxa" w:w="0"/>
            </w:tcMar>
            <w:vAlign w:val="center"/>
          </w:tcPr>
          <w:p>
            <w:pPr>
              <w:spacing w:after="0" w:before="0"/>
              <w:jc w:val="center"/>
            </w:pPr>
            <w:r>
              <w:rPr>
                <w:rFonts w:ascii="Arial" w:cs="Arial" w:eastAsia="Arial" w:hAnsi="Arial"/>
                <w:sz w:val="44"/>
                <w:szCs w:val="44"/>
              </w:rPr>
              <w:t xml:space="preserve">🇪🇪</w:t>
            </w:r>
          </w:p>
        </w:tc>
        <w:tc>
          <w:tcPr>
            <w:tcW w:type="dxa" w:w="8560"/>
            <w:tcBorders>
              <w:top w:val="single" w:color="FFFFFF" w:sz="0" w:space="0"/>
              <w:left w:val="single" w:color="FFFFFF" w:sz="0" w:space="0"/>
              <w:bottom w:val="single" w:color="FFFFFF" w:sz="0" w:space="0"/>
              <w:right w:val="single" w:color="FFFFFF" w:sz="0" w:space="0"/>
            </w:tcBorders>
            <w:shd w:fill="005B99" w:val="clear"/>
            <w:tcMar>
              <w:top w:type="dxa" w:w="160"/>
              <w:left w:type="dxa" w:w="200"/>
              <w:bottom w:type="dxa" w:w="160"/>
              <w:right w:type="dxa" w:w="200"/>
            </w:tcMar>
          </w:tcPr>
          <w:p>
            <w:pPr>
              <w:spacing w:after="0" w:before="0"/>
            </w:pPr>
            <w:r>
              <w:rPr>
                <w:rFonts w:ascii="Arial" w:cs="Arial" w:eastAsia="Arial" w:hAnsi="Arial"/>
                <w:b/>
                <w:bCs/>
                <w:color w:val="FFFFFF"/>
                <w:sz w:val="36"/>
                <w:szCs w:val="36"/>
              </w:rPr>
              <w:t xml:space="preserve">ESTONIA — El Estado que desapareció del papel</w:t>
            </w:r>
          </w:p>
        </w:tc>
      </w:tr>
    </w:tbl>
    <w:p>
      <w:pPr>
        <w:spacing w:after="160" w:before="0"/>
      </w:pPr>
      <w:r>
        <w:rPr>
          <w:sz w:val="22"/>
          <w:szCs w:val="22"/>
        </w:rPr>
        <w:t xml:space="preserve"/>
      </w:r>
    </w:p>
    <w:p>
      <w:pPr>
        <w:pStyle w:val="Heading2"/>
        <w:pBdr>
          <w:bottom w:val="single" w:color="005B99" w:sz="4" w:space="4"/>
        </w:pBdr>
        <w:spacing w:after="140" w:before="280"/>
      </w:pPr>
      <w:r>
        <w:rPr>
          <w:rFonts w:ascii="Arial" w:cs="Arial" w:eastAsia="Arial" w:hAnsi="Arial"/>
          <w:b/>
          <w:bCs/>
          <w:color w:val="005B99"/>
          <w:sz w:val="28"/>
          <w:szCs w:val="28"/>
        </w:rPr>
        <w:t xml:space="preserve">Contexto</w:t>
      </w:r>
    </w:p>
    <w:p>
      <w:pPr>
        <w:spacing w:after="80" w:before="80"/>
      </w:pPr>
      <w:r>
        <w:rPr>
          <w:rFonts w:ascii="Arial" w:cs="Arial" w:eastAsia="Arial" w:hAnsi="Arial"/>
          <w:sz w:val="22"/>
          <w:szCs w:val="22"/>
        </w:rPr>
        <w:t xml:space="preserve">En 1991 Estonia recuperó su independencia después de décadas bajo la Unión Soviética. Era un país pequeño, sin recursos naturales abundantes y con instituciones públicas heredadas de un sistema burocrático pesado. Su respuesta: apostar por la digitalización total del Estado como estrategia de desarrollo nacional.</w:t>
      </w:r>
    </w:p>
    <w:p>
      <w:pPr>
        <w:spacing w:after="80" w:before="80"/>
      </w:pPr>
      <w:r>
        <w:rPr>
          <w:rFonts w:ascii="Arial" w:cs="Arial" w:eastAsia="Arial" w:hAnsi="Arial"/>
          <w:sz w:val="22"/>
          <w:szCs w:val="22"/>
        </w:rPr>
        <w:t xml:space="preserve">Hoy Estonia es considerada el país con el gobierno digital más avanzado del mundo. Casi el 100% de los servicios públicos existen en formato digital. Los ciudadanos pueden votar, declarar impuestos, fundar empresas, acceder a su historial médico y ver quién ha consultado sus datos personales, todo desde cualquier lugar del mundo.</w:t>
      </w:r>
    </w:p>
    <w:p>
      <w:pPr>
        <w:spacing w:after="160" w:before="0"/>
      </w:pPr>
      <w:r>
        <w:rPr>
          <w:sz w:val="22"/>
          <w:szCs w:val="22"/>
        </w:rPr>
        <w:t xml:space="preserve"/>
      </w:r>
    </w:p>
    <w:p>
      <w:pPr>
        <w:pStyle w:val="Heading2"/>
        <w:pBdr>
          <w:bottom w:val="single" w:color="005B99" w:sz="4" w:space="4"/>
        </w:pBdr>
        <w:spacing w:after="140" w:before="280"/>
      </w:pPr>
      <w:r>
        <w:rPr>
          <w:rFonts w:ascii="Arial" w:cs="Arial" w:eastAsia="Arial" w:hAnsi="Arial"/>
          <w:b/>
          <w:bCs/>
          <w:color w:val="005B99"/>
          <w:sz w:val="28"/>
          <w:szCs w:val="28"/>
        </w:rPr>
        <w:t xml:space="preserve">Sistema Central: X-Road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005B99"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CATEGORÍA</w:t>
            </w:r>
          </w:p>
        </w:tc>
        <w:tc>
          <w:tcPr>
            <w:tcW w:type="dxa" w:w="6960"/>
            <w:tcBorders>
              <w:top w:val="single" w:color="CCCCCC" w:sz="1" w:space="0"/>
              <w:left w:val="single" w:color="CCCCCC" w:sz="1" w:space="0"/>
              <w:bottom w:val="single" w:color="CCCCCC" w:sz="1" w:space="0"/>
              <w:right w:val="single" w:color="CCCCCC" w:sz="1" w:space="0"/>
            </w:tcBorders>
            <w:shd w:fill="005B99"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DETALLE</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Nombre del sistema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X-Road (Plataforma de Interoperabilidad Estatal)</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Año de lanzamiento</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2001</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Qué hace</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pStyle w:val="ListParagraph"/>
              <w:numPr>
                <w:ilvl w:val="0"/>
                <w:numId w:val="2"/>
              </w:numPr>
              <w:spacing w:after="40" w:before="40"/>
            </w:pPr>
            <w:r>
              <w:rPr>
                <w:rFonts w:ascii="Arial" w:cs="Arial" w:eastAsia="Arial" w:hAnsi="Arial"/>
                <w:color w:val="000000"/>
                <w:sz w:val="20"/>
                <w:szCs w:val="20"/>
              </w:rPr>
              <w:t xml:space="preserve">Conecta todas las bases de datos del Estado en tiempo real</w:t>
            </w:r>
          </w:p>
          <w:p>
            <w:pPr>
              <w:pStyle w:val="ListParagraph"/>
              <w:numPr>
                <w:ilvl w:val="0"/>
                <w:numId w:val="2"/>
              </w:numPr>
              <w:spacing w:after="40" w:before="40"/>
            </w:pPr>
            <w:r>
              <w:rPr>
                <w:rFonts w:ascii="Arial" w:cs="Arial" w:eastAsia="Arial" w:hAnsi="Arial"/>
                <w:color w:val="000000"/>
                <w:sz w:val="20"/>
                <w:szCs w:val="20"/>
              </w:rPr>
              <w:t xml:space="preserve">Permite que las instituciones compartan información sin duplicarla</w:t>
            </w:r>
          </w:p>
          <w:p>
            <w:pPr>
              <w:pStyle w:val="ListParagraph"/>
              <w:numPr>
                <w:ilvl w:val="0"/>
                <w:numId w:val="2"/>
              </w:numPr>
              <w:spacing w:after="40" w:before="40"/>
            </w:pPr>
            <w:r>
              <w:rPr>
                <w:rFonts w:ascii="Arial" w:cs="Arial" w:eastAsia="Arial" w:hAnsi="Arial"/>
                <w:color w:val="000000"/>
                <w:sz w:val="20"/>
                <w:szCs w:val="20"/>
              </w:rPr>
              <w:t xml:space="preserve">Los ciudadanos no tienen que presentar el mismo dato dos veces</w:t>
            </w:r>
          </w:p>
          <w:p>
            <w:pPr>
              <w:pStyle w:val="ListParagraph"/>
              <w:numPr>
                <w:ilvl w:val="0"/>
                <w:numId w:val="2"/>
              </w:numPr>
              <w:spacing w:after="40" w:before="40"/>
            </w:pPr>
            <w:r>
              <w:rPr>
                <w:rFonts w:ascii="Arial" w:cs="Arial" w:eastAsia="Arial" w:hAnsi="Arial"/>
                <w:color w:val="000000"/>
                <w:sz w:val="20"/>
                <w:szCs w:val="20"/>
              </w:rPr>
              <w:t xml:space="preserve">Registra quién consulta qué dato y cuándo (trazabilidad total)</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Escala actual</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Más de 1.000 organizaciones y 170 servicios digitales interconectados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Adopción internacional</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Estonia exportó X-Road a Finlandia, Islandia, Azerbaiyán y otros países</w:t>
            </w:r>
          </w:p>
        </w:tc>
      </w:tr>
    </w:tbl>
    <w:p>
      <w:pPr>
        <w:spacing w:after="160" w:before="0"/>
      </w:pPr>
      <w:r>
        <w:rPr>
          <w:sz w:val="22"/>
          <w:szCs w:val="22"/>
        </w:rPr>
        <w:t xml:space="preserve"/>
      </w:r>
    </w:p>
    <w:p>
      <w:pPr>
        <w:pStyle w:val="Heading2"/>
        <w:pBdr>
          <w:bottom w:val="single" w:color="005B99" w:sz="4" w:space="4"/>
        </w:pBdr>
        <w:spacing w:after="140" w:before="280"/>
      </w:pPr>
      <w:r>
        <w:rPr>
          <w:rFonts w:ascii="Arial" w:cs="Arial" w:eastAsia="Arial" w:hAnsi="Arial"/>
          <w:b/>
          <w:bCs/>
          <w:color w:val="005B99"/>
          <w:sz w:val="28"/>
          <w:szCs w:val="28"/>
        </w:rPr>
        <w:t xml:space="preserve">Sistema de Identidad Digital</w:t>
      </w:r>
    </w:p>
    <w:p>
      <w:pPr>
        <w:spacing w:after="80" w:before="80"/>
      </w:pPr>
      <w:r>
        <w:rPr>
          <w:rFonts w:ascii="Arial" w:cs="Arial" w:eastAsia="Arial" w:hAnsi="Arial"/>
          <w:sz w:val="22"/>
          <w:szCs w:val="22"/>
        </w:rPr>
        <w:t xml:space="preserve">El pilar tecnológico de Estonia es su sistema de identidad digital (e-ID). Cada ciudadano tiene una identidad digital que le permite autenticarse en cualquier servicio del Estado. Sin contraseñas débiles, sin duplicidades, sin fraudes de identidad.</w:t>
      </w:r>
    </w:p>
    <w:p>
      <w:pPr>
        <w:pStyle w:val="ListParagraph"/>
        <w:numPr>
          <w:ilvl w:val="0"/>
          <w:numId w:val="2"/>
        </w:numPr>
        <w:spacing w:after="60" w:before="60"/>
      </w:pPr>
      <w:r>
        <w:rPr>
          <w:rFonts w:ascii="Arial" w:cs="Arial" w:eastAsia="Arial" w:hAnsi="Arial"/>
          <w:sz w:val="22"/>
          <w:szCs w:val="22"/>
        </w:rPr>
        <w:t xml:space="preserve">98% de los ciudadanos tienen identidad digital activa</w:t>
      </w:r>
    </w:p>
    <w:p>
      <w:pPr>
        <w:pStyle w:val="ListParagraph"/>
        <w:numPr>
          <w:ilvl w:val="0"/>
          <w:numId w:val="2"/>
        </w:numPr>
        <w:spacing w:after="60" w:before="60"/>
      </w:pPr>
      <w:r>
        <w:rPr>
          <w:rFonts w:ascii="Arial" w:cs="Arial" w:eastAsia="Arial" w:hAnsi="Arial"/>
          <w:sz w:val="22"/>
          <w:szCs w:val="22"/>
        </w:rPr>
        <w:t xml:space="preserve">Los impuestos se declaran en menos de 5 minutos</w:t>
      </w:r>
    </w:p>
    <w:p>
      <w:pPr>
        <w:pStyle w:val="ListParagraph"/>
        <w:numPr>
          <w:ilvl w:val="0"/>
          <w:numId w:val="2"/>
        </w:numPr>
        <w:spacing w:after="60" w:before="60"/>
      </w:pPr>
      <w:r>
        <w:rPr>
          <w:rFonts w:ascii="Arial" w:cs="Arial" w:eastAsia="Arial" w:hAnsi="Arial"/>
          <w:sz w:val="22"/>
          <w:szCs w:val="22"/>
        </w:rPr>
        <w:t xml:space="preserve">Fundar una empresa toma 18 minutos en línea</w:t>
      </w:r>
    </w:p>
    <w:p>
      <w:pPr>
        <w:pStyle w:val="ListParagraph"/>
        <w:numPr>
          <w:ilvl w:val="0"/>
          <w:numId w:val="2"/>
        </w:numPr>
        <w:spacing w:after="60" w:before="60"/>
      </w:pPr>
      <w:r>
        <w:rPr>
          <w:rFonts w:ascii="Arial" w:cs="Arial" w:eastAsia="Arial" w:hAnsi="Arial"/>
          <w:sz w:val="22"/>
          <w:szCs w:val="22"/>
        </w:rPr>
        <w:t xml:space="preserve">El voto electrónico existe desde 2005 con plena trazabilidad</w:t>
      </w:r>
    </w:p>
    <w:p>
      <w:pPr>
        <w:spacing w:after="160" w:before="0"/>
      </w:pPr>
      <w:r>
        <w:rPr>
          <w:sz w:val="22"/>
          <w:szCs w:val="22"/>
        </w:rPr>
        <w:t xml:space="preserve"/>
      </w:r>
    </w:p>
    <w:p>
      <w:pPr>
        <w:pStyle w:val="Heading2"/>
        <w:pBdr>
          <w:bottom w:val="single" w:color="005B99" w:sz="4" w:space="4"/>
        </w:pBdr>
        <w:spacing w:after="140" w:before="280"/>
      </w:pPr>
      <w:r>
        <w:rPr>
          <w:rFonts w:ascii="Arial" w:cs="Arial" w:eastAsia="Arial" w:hAnsi="Arial"/>
          <w:b/>
          <w:bCs/>
          <w:color w:val="005B99"/>
          <w:sz w:val="28"/>
          <w:szCs w:val="28"/>
        </w:rPr>
        <w:t xml:space="preserve">Principio de Datos Una Sola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space="0"/>
              <w:left w:val="single" w:color="FFFFFF" w:sz="0" w:space="0"/>
              <w:bottom w:val="single" w:color="FFFFFF" w:sz="0" w:space="0"/>
              <w:right w:val="single" w:color="FFFFFF" w:sz="0" w:space="0"/>
            </w:tcBorders>
            <w:shd w:fill="005B99" w:val="clear"/>
            <w:tcMar>
              <w:top w:type="dxa" w:w="140"/>
              <w:left w:type="dxa" w:w="220"/>
              <w:bottom w:type="dxa" w:w="140"/>
              <w:right w:type="dxa" w:w="220"/>
            </w:tcMar>
          </w:tcPr>
          <w:p>
            <w:pPr>
              <w:spacing w:after="0" w:before="0"/>
            </w:pPr>
            <w:r>
              <w:rPr>
                <w:rFonts w:ascii="Arial" w:cs="Arial" w:eastAsia="Arial" w:hAnsi="Arial"/>
                <w:b/>
                <w:bCs/>
                <w:color w:val="FFFFFF"/>
                <w:sz w:val="22"/>
                <w:szCs w:val="22"/>
              </w:rPr>
              <w:t xml:space="preserve">'Once Only': El ciudadano nunca entrega el mismo dato dos veces al Estado. Si ya existe en el sistema, el Estado lo usa directamente. Esto elimina burocracia, errores y corrupción por omisión.</w:t>
            </w:r>
          </w:p>
        </w:tc>
      </w:tr>
    </w:tbl>
    <w:p>
      <w:pPr>
        <w:spacing w:after="160" w:before="0"/>
      </w:pPr>
      <w:r>
        <w:rPr>
          <w:sz w:val="22"/>
          <w:szCs w:val="22"/>
        </w:rPr>
        <w:t xml:space="preserve"/>
      </w:r>
    </w:p>
    <w:p>
      <w:pPr>
        <w:pStyle w:val="Heading2"/>
        <w:pBdr>
          <w:bottom w:val="single" w:color="005B99" w:sz="4" w:space="4"/>
        </w:pBdr>
        <w:spacing w:after="140" w:before="280"/>
      </w:pPr>
      <w:r>
        <w:rPr>
          <w:rFonts w:ascii="Arial" w:cs="Arial" w:eastAsia="Arial" w:hAnsi="Arial"/>
          <w:b/>
          <w:bCs/>
          <w:color w:val="005B99"/>
          <w:sz w:val="28"/>
          <w:szCs w:val="28"/>
        </w:rPr>
        <w:t xml:space="preserve">Transparencia y Anticorrupción</w:t>
      </w:r>
    </w:p>
    <w:p>
      <w:pPr>
        <w:spacing w:after="80" w:before="80"/>
      </w:pPr>
      <w:r>
        <w:rPr>
          <w:rFonts w:ascii="Arial" w:cs="Arial" w:eastAsia="Arial" w:hAnsi="Arial"/>
          <w:sz w:val="22"/>
          <w:szCs w:val="22"/>
        </w:rPr>
        <w:t xml:space="preserve">Uno de los mecanismos más poderosos de Estonia es que cada ciudadano puede ver quién ha consultado sus datos personales en el sistema del Estado. Si un funcionario accede a un expediente sin justificación, el ciudadano lo sabe y puede denunciarlo.</w:t>
      </w:r>
    </w:p>
    <w:p>
      <w:pPr>
        <w:pStyle w:val="ListParagraph"/>
        <w:numPr>
          <w:ilvl w:val="0"/>
          <w:numId w:val="2"/>
        </w:numPr>
        <w:spacing w:after="60" w:before="60"/>
      </w:pPr>
      <w:r>
        <w:rPr>
          <w:rFonts w:ascii="Arial" w:cs="Arial" w:eastAsia="Arial" w:hAnsi="Arial"/>
          <w:sz w:val="22"/>
          <w:szCs w:val="22"/>
        </w:rPr>
        <w:t xml:space="preserve">El sistema registra automáticamente cada acceso a datos públicos y privados</w:t>
      </w:r>
    </w:p>
    <w:p>
      <w:pPr>
        <w:pStyle w:val="ListParagraph"/>
        <w:numPr>
          <w:ilvl w:val="0"/>
          <w:numId w:val="2"/>
        </w:numPr>
        <w:spacing w:after="60" w:before="60"/>
      </w:pPr>
      <w:r>
        <w:rPr>
          <w:rFonts w:ascii="Arial" w:cs="Arial" w:eastAsia="Arial" w:hAnsi="Arial"/>
          <w:sz w:val="22"/>
          <w:szCs w:val="22"/>
        </w:rPr>
        <w:t xml:space="preserve">Las alertas de acceso indebido se generan de forma automática</w:t>
      </w:r>
    </w:p>
    <w:p>
      <w:pPr>
        <w:pStyle w:val="ListParagraph"/>
        <w:numPr>
          <w:ilvl w:val="0"/>
          <w:numId w:val="2"/>
        </w:numPr>
        <w:spacing w:after="60" w:before="60"/>
      </w:pPr>
      <w:r>
        <w:rPr>
          <w:rFonts w:ascii="Arial" w:cs="Arial" w:eastAsia="Arial" w:hAnsi="Arial"/>
          <w:sz w:val="22"/>
          <w:szCs w:val="22"/>
        </w:rPr>
        <w:t xml:space="preserve">El control de datos personales está en manos del ciudadano, no del Estado</w:t>
      </w:r>
    </w:p>
    <w:p>
      <w:pPr>
        <w:spacing w:after="160" w:before="0"/>
      </w:pPr>
      <w:r>
        <w:rPr>
          <w:sz w:val="22"/>
          <w:szCs w:val="22"/>
        </w:rPr>
        <w:t xml:space="preserve"/>
      </w:r>
    </w:p>
    <w:p>
      <w:pPr>
        <w:pStyle w:val="Heading2"/>
        <w:pBdr>
          <w:bottom w:val="single" w:color="005B99" w:sz="4" w:space="4"/>
        </w:pBdr>
        <w:spacing w:after="140" w:before="280"/>
      </w:pPr>
      <w:r>
        <w:rPr>
          <w:rFonts w:ascii="Arial" w:cs="Arial" w:eastAsia="Arial" w:hAnsi="Arial"/>
          <w:b/>
          <w:bCs/>
          <w:color w:val="005B99"/>
          <w:sz w:val="28"/>
          <w:szCs w:val="28"/>
        </w:rPr>
        <w:t xml:space="preserve">Fallos y Limitaciones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005B99"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LIMITACIÓN</w:t>
            </w:r>
          </w:p>
        </w:tc>
        <w:tc>
          <w:tcPr>
            <w:tcW w:type="dxa" w:w="6960"/>
            <w:tcBorders>
              <w:top w:val="single" w:color="CCCCCC" w:sz="1" w:space="0"/>
              <w:left w:val="single" w:color="CCCCCC" w:sz="1" w:space="0"/>
              <w:bottom w:val="single" w:color="CCCCCC" w:sz="1" w:space="0"/>
              <w:right w:val="single" w:color="CCCCCC" w:sz="1" w:space="0"/>
            </w:tcBorders>
            <w:shd w:fill="005B99"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DESCRIPCIÓN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Concentración tecnológica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Alta dependencia de infraestructura digital genera vulnerabilidad ante ataques cibernéticos (como el ataque ruso de 2007)</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Exclusión digital</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Adultos mayores y zonas rurales tienen menor acceso real al sistema</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Contexto geopolítico único</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Estonia es un país pequeño (1,3M habitantes) con alta cohesión social. Escalar a países más grandes y diversos es más complejo</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Costo inicial elevado</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La inversión inicial fue alta para un país pequeño. Requirió apoyo internacional sostenido</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FFFFFF" w:sz="0" w:space="0"/>
              <w:left w:val="single" w:color="FFFFFF" w:sz="0" w:space="0"/>
              <w:bottom w:val="single" w:color="FFFFFF" w:sz="0" w:space="0"/>
              <w:right w:val="single" w:color="FFFFFF" w:sz="0" w:space="0"/>
            </w:tcBorders>
            <w:shd w:fill="005B99" w:val="clear"/>
            <w:tcMar>
              <w:top w:type="dxa" w:w="120"/>
              <w:left w:type="dxa" w:w="140"/>
              <w:bottom w:type="dxa" w:w="120"/>
              <w:right w:type="dxa" w:w="0"/>
            </w:tcMar>
          </w:tcPr>
          <w:p>
            <w:pPr>
              <w:spacing w:after="0" w:before="0"/>
              <w:jc w:val="center"/>
            </w:pPr>
            <w:r>
              <w:rPr>
                <w:rFonts w:ascii="Arial" w:cs="Arial" w:eastAsia="Arial" w:hAnsi="Arial"/>
                <w:color w:val="FFFFFF"/>
                <w:sz w:val="28"/>
                <w:szCs w:val="28"/>
              </w:rPr>
              <w:t xml:space="preserve">✦</w:t>
            </w:r>
          </w:p>
        </w:tc>
        <w:tc>
          <w:tcPr>
            <w:tcW w:type="dxa" w:w="9060"/>
            <w:tcBorders>
              <w:top w:val="single" w:color="FFFFFF" w:sz="0" w:space="0"/>
              <w:left w:val="single" w:color="FFFFFF" w:sz="0" w:space="0"/>
              <w:bottom w:val="single" w:color="FFFFFF" w:sz="0" w:space="0"/>
              <w:right w:val="single" w:color="FFFFFF" w:sz="0" w:space="0"/>
            </w:tcBorders>
            <w:shd w:fill="F3F4F6" w:val="clear"/>
            <w:tcMar>
              <w:top w:type="dxa" w:w="120"/>
              <w:left w:type="dxa" w:w="160"/>
              <w:bottom w:type="dxa" w:w="120"/>
              <w:right w:type="dxa" w:w="160"/>
            </w:tcMar>
          </w:tcPr>
          <w:p>
            <w:pPr>
              <w:spacing w:after="40" w:before="0"/>
            </w:pPr>
            <w:r>
              <w:rPr>
                <w:rFonts w:ascii="Arial" w:cs="Arial" w:eastAsia="Arial" w:hAnsi="Arial"/>
                <w:b/>
                <w:bCs/>
                <w:color w:val="005B99"/>
                <w:sz w:val="18"/>
                <w:szCs w:val="18"/>
              </w:rPr>
              <w:t xml:space="preserve">LECCIÓN PARA ECUADOR — ESTONIA</w:t>
            </w:r>
          </w:p>
          <w:p>
            <w:pPr>
              <w:spacing w:after="0" w:before="0"/>
            </w:pPr>
            <w:r>
              <w:rPr>
                <w:rFonts w:ascii="Arial" w:cs="Arial" w:eastAsia="Arial" w:hAnsi="Arial"/>
                <w:sz w:val="20"/>
                <w:szCs w:val="20"/>
              </w:rPr>
              <w:t xml:space="preserve">La interoperabilidad total de las bases de datos del Estado es el primer paso. Si los ministerios de Ecuador no comparten datos entre sí, el SNIP tendrá que trabajar con información fragmentada. La prioridad técnica debe ser conectar todas las bases de datos del Estado antes de activar el sistema de análisis.</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space="0"/>
              <w:left w:val="none" w:color="FFFFFF" w:sz="0" w:space="0"/>
              <w:bottom w:val="none" w:color="FFFFFF" w:sz="0" w:space="0"/>
              <w:right w:val="none" w:color="FFFFFF" w:sz="0" w:space="0"/>
            </w:tcBorders>
            <w:shd w:fill="F8F8F8" w:val="clear"/>
            <w:tcMar>
              <w:top w:type="dxa" w:w="80"/>
              <w:left w:type="dxa" w:w="120"/>
              <w:bottom w:type="dxa" w:w="80"/>
              <w:right w:type="dxa" w:w="120"/>
            </w:tcMar>
          </w:tcPr>
          <w:p>
            <w:pPr>
              <w:spacing w:after="20" w:before="0"/>
            </w:pPr>
            <w:r>
              <w:rPr>
                <w:rFonts w:ascii="Arial" w:cs="Arial" w:eastAsia="Arial" w:hAnsi="Arial"/>
                <w:b/>
                <w:bCs/>
                <w:color w:val="888888"/>
                <w:sz w:val="16"/>
                <w:szCs w:val="16"/>
              </w:rPr>
              <w:t xml:space="preserve">FUENTES DE REFERENCIA</w:t>
            </w:r>
          </w:p>
          <w:p>
            <w:pPr>
              <w:spacing w:after="20" w:before="60"/>
            </w:pPr>
            <w:r>
              <w:rPr>
                <w:rFonts w:ascii="Arial" w:cs="Arial" w:eastAsia="Arial" w:hAnsi="Arial"/>
                <w:b/>
                <w:bCs/>
                <w:color w:val="555555"/>
                <w:sz w:val="16"/>
                <w:szCs w:val="16"/>
              </w:rPr>
              <w:t xml:space="preserve">[1] e-Estonia — Portal oficial de gobierno digital: </w:t>
            </w:r>
            <w:r>
              <w:rPr>
                <w:rFonts w:ascii="Arial" w:cs="Arial" w:eastAsia="Arial" w:hAnsi="Arial"/>
                <w:color w:val="1155CC"/>
                <w:sz w:val="16"/>
                <w:szCs w:val="16"/>
              </w:rPr>
              <w:t xml:space="preserve">https://e-estonia.com</w:t>
            </w:r>
          </w:p>
          <w:p>
            <w:pPr>
              <w:spacing w:after="20" w:before="20"/>
            </w:pPr>
            <w:r>
              <w:rPr>
                <w:rFonts w:ascii="Arial" w:cs="Arial" w:eastAsia="Arial" w:hAnsi="Arial"/>
                <w:b/>
                <w:bCs/>
                <w:color w:val="555555"/>
                <w:sz w:val="16"/>
                <w:szCs w:val="16"/>
              </w:rPr>
              <w:t xml:space="preserve">[2] X-Road — Documentación técnica oficial: </w:t>
            </w:r>
            <w:r>
              <w:rPr>
                <w:rFonts w:ascii="Arial" w:cs="Arial" w:eastAsia="Arial" w:hAnsi="Arial"/>
                <w:color w:val="1155CC"/>
                <w:sz w:val="16"/>
                <w:szCs w:val="16"/>
              </w:rPr>
              <w:t xml:space="preserve">https://x-road.global</w:t>
            </w:r>
          </w:p>
          <w:p>
            <w:pPr>
              <w:spacing w:after="20" w:before="20"/>
            </w:pPr>
            <w:r>
              <w:rPr>
                <w:rFonts w:ascii="Arial" w:cs="Arial" w:eastAsia="Arial" w:hAnsi="Arial"/>
                <w:b/>
                <w:bCs/>
                <w:color w:val="555555"/>
                <w:sz w:val="16"/>
                <w:szCs w:val="16"/>
              </w:rPr>
              <w:t xml:space="preserve">[3] RIA — Autoridad de Sistemas de Información de Estonia: </w:t>
            </w:r>
            <w:r>
              <w:rPr>
                <w:rFonts w:ascii="Arial" w:cs="Arial" w:eastAsia="Arial" w:hAnsi="Arial"/>
                <w:color w:val="1155CC"/>
                <w:sz w:val="16"/>
                <w:szCs w:val="16"/>
              </w:rPr>
              <w:t xml:space="preserve">https://www.ria.ee/en</w:t>
            </w:r>
          </w:p>
          <w:p>
            <w:pPr>
              <w:spacing w:after="20" w:before="20"/>
            </w:pPr>
            <w:r>
              <w:rPr>
                <w:rFonts w:ascii="Arial" w:cs="Arial" w:eastAsia="Arial" w:hAnsi="Arial"/>
                <w:b/>
                <w:bCs/>
                <w:color w:val="555555"/>
                <w:sz w:val="16"/>
                <w:szCs w:val="16"/>
              </w:rPr>
              <w:t xml:space="preserve">[4] e-ID Estonia — Sistema de identidad digital: </w:t>
            </w:r>
            <w:r>
              <w:rPr>
                <w:rFonts w:ascii="Arial" w:cs="Arial" w:eastAsia="Arial" w:hAnsi="Arial"/>
                <w:color w:val="1155CC"/>
                <w:sz w:val="16"/>
                <w:szCs w:val="16"/>
              </w:rPr>
              <w:t xml:space="preserve">https://www.id.ee/en</w:t>
            </w:r>
          </w:p>
          <w:p>
            <w:pPr>
              <w:spacing w:after="20" w:before="20"/>
            </w:pPr>
            <w:r>
              <w:rPr>
                <w:rFonts w:ascii="Arial" w:cs="Arial" w:eastAsia="Arial" w:hAnsi="Arial"/>
                <w:b/>
                <w:bCs/>
                <w:color w:val="555555"/>
                <w:sz w:val="16"/>
                <w:szCs w:val="16"/>
              </w:rPr>
              <w:t xml:space="preserve">[5] ONU — Encuesta de gobierno electrónico 2024: </w:t>
            </w:r>
            <w:r>
              <w:rPr>
                <w:rFonts w:ascii="Arial" w:cs="Arial" w:eastAsia="Arial" w:hAnsi="Arial"/>
                <w:color w:val="1155CC"/>
                <w:sz w:val="16"/>
                <w:szCs w:val="16"/>
              </w:rPr>
              <w:t xml:space="preserve">https://publicadministration.un.org/egovkb/en-us/Reports/UN-E-Government-Survey-2024</w:t>
            </w:r>
          </w:p>
        </w:tc>
      </w:tr>
    </w:tbl>
    <w:p>
      <w:pPr>
        <w:spacing w:after="16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0" w:space="0"/>
              <w:left w:val="single" w:color="FFFFFF" w:sz="0" w:space="0"/>
              <w:bottom w:val="single" w:color="FFFFFF" w:sz="0" w:space="0"/>
              <w:right w:val="single" w:color="FFFFFF" w:sz="0" w:space="0"/>
            </w:tcBorders>
            <w:shd w:fill="D62828" w:val="clear"/>
            <w:tcMar>
              <w:top w:type="dxa" w:w="160"/>
              <w:left w:type="dxa" w:w="160"/>
              <w:bottom w:type="dxa" w:w="160"/>
              <w:right w:type="dxa" w:w="0"/>
            </w:tcMar>
            <w:vAlign w:val="center"/>
          </w:tcPr>
          <w:p>
            <w:pPr>
              <w:spacing w:after="0" w:before="0"/>
              <w:jc w:val="center"/>
            </w:pPr>
            <w:r>
              <w:rPr>
                <w:rFonts w:ascii="Arial" w:cs="Arial" w:eastAsia="Arial" w:hAnsi="Arial"/>
                <w:sz w:val="44"/>
                <w:szCs w:val="44"/>
              </w:rPr>
              <w:t xml:space="preserve">🇨🇱</w:t>
            </w:r>
          </w:p>
        </w:tc>
        <w:tc>
          <w:tcPr>
            <w:tcW w:type="dxa" w:w="8560"/>
            <w:tcBorders>
              <w:top w:val="single" w:color="FFFFFF" w:sz="0" w:space="0"/>
              <w:left w:val="single" w:color="FFFFFF" w:sz="0" w:space="0"/>
              <w:bottom w:val="single" w:color="FFFFFF" w:sz="0" w:space="0"/>
              <w:right w:val="single" w:color="FFFFFF" w:sz="0" w:space="0"/>
            </w:tcBorders>
            <w:shd w:fill="D62828" w:val="clear"/>
            <w:tcMar>
              <w:top w:type="dxa" w:w="160"/>
              <w:left w:type="dxa" w:w="200"/>
              <w:bottom w:type="dxa" w:w="160"/>
              <w:right w:type="dxa" w:w="200"/>
            </w:tcMar>
          </w:tcPr>
          <w:p>
            <w:pPr>
              <w:spacing w:after="0" w:before="0"/>
            </w:pPr>
            <w:r>
              <w:rPr>
                <w:rFonts w:ascii="Arial" w:cs="Arial" w:eastAsia="Arial" w:hAnsi="Arial"/>
                <w:b/>
                <w:bCs/>
                <w:color w:val="FFFFFF"/>
                <w:sz w:val="36"/>
                <w:szCs w:val="36"/>
              </w:rPr>
              <w:t xml:space="preserve">CHILE — Transparencia en contratación pública</w:t>
            </w:r>
          </w:p>
        </w:tc>
      </w:tr>
    </w:tbl>
    <w:p>
      <w:pPr>
        <w:spacing w:after="160" w:before="0"/>
      </w:pPr>
      <w:r>
        <w:rPr>
          <w:sz w:val="22"/>
          <w:szCs w:val="22"/>
        </w:rPr>
        <w:t xml:space="preserve"/>
      </w:r>
    </w:p>
    <w:p>
      <w:pPr>
        <w:pStyle w:val="Heading2"/>
        <w:pBdr>
          <w:bottom w:val="single" w:color="D62828" w:sz="4" w:space="4"/>
        </w:pBdr>
        <w:spacing w:after="140" w:before="280"/>
      </w:pPr>
      <w:r>
        <w:rPr>
          <w:rFonts w:ascii="Arial" w:cs="Arial" w:eastAsia="Arial" w:hAnsi="Arial"/>
          <w:b/>
          <w:bCs/>
          <w:color w:val="D62828"/>
          <w:sz w:val="28"/>
          <w:szCs w:val="28"/>
        </w:rPr>
        <w:t xml:space="preserve">Contexto</w:t>
      </w:r>
    </w:p>
    <w:p>
      <w:pPr>
        <w:spacing w:after="80" w:before="80"/>
      </w:pPr>
      <w:r>
        <w:rPr>
          <w:rFonts w:ascii="Arial" w:cs="Arial" w:eastAsia="Arial" w:hAnsi="Arial"/>
          <w:sz w:val="22"/>
          <w:szCs w:val="22"/>
        </w:rPr>
        <w:t xml:space="preserve">Chile es el país latinoamericano con mejores indicadores de transparencia y control de la corrupción. No porque su cultura política sea perfecta, sino porque construyó sistemas institucionales que hacen más difícil que la corrupción ocurra sin ser detectada.</w:t>
      </w:r>
    </w:p>
    <w:p>
      <w:pPr>
        <w:spacing w:after="80" w:before="80"/>
      </w:pPr>
      <w:r>
        <w:rPr>
          <w:rFonts w:ascii="Arial" w:cs="Arial" w:eastAsia="Arial" w:hAnsi="Arial"/>
          <w:sz w:val="22"/>
          <w:szCs w:val="22"/>
        </w:rPr>
        <w:t xml:space="preserve">El motor de ese avance fue su apuesta por la transparencia en la contratación pública: el área donde más dinero del Estado se mueve y donde históricamente ocurre más corrupción en América Latina.</w:t>
      </w:r>
    </w:p>
    <w:p>
      <w:pPr>
        <w:spacing w:after="160" w:before="0"/>
      </w:pPr>
      <w:r>
        <w:rPr>
          <w:sz w:val="22"/>
          <w:szCs w:val="22"/>
        </w:rPr>
        <w:t xml:space="preserve"/>
      </w:r>
    </w:p>
    <w:p>
      <w:pPr>
        <w:pStyle w:val="Heading2"/>
        <w:pBdr>
          <w:bottom w:val="single" w:color="D62828" w:sz="4" w:space="4"/>
        </w:pBdr>
        <w:spacing w:after="140" w:before="280"/>
      </w:pPr>
      <w:r>
        <w:rPr>
          <w:rFonts w:ascii="Arial" w:cs="Arial" w:eastAsia="Arial" w:hAnsi="Arial"/>
          <w:b/>
          <w:bCs/>
          <w:color w:val="D62828"/>
          <w:sz w:val="28"/>
          <w:szCs w:val="28"/>
        </w:rPr>
        <w:t xml:space="preserve">Sistema ChileCompra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D62828"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CATEGORÍA</w:t>
            </w:r>
          </w:p>
        </w:tc>
        <w:tc>
          <w:tcPr>
            <w:tcW w:type="dxa" w:w="6960"/>
            <w:tcBorders>
              <w:top w:val="single" w:color="CCCCCC" w:sz="1" w:space="0"/>
              <w:left w:val="single" w:color="CCCCCC" w:sz="1" w:space="0"/>
              <w:bottom w:val="single" w:color="CCCCCC" w:sz="1" w:space="0"/>
              <w:right w:val="single" w:color="CCCCCC" w:sz="1" w:space="0"/>
            </w:tcBorders>
            <w:shd w:fill="D62828"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DETALLE</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Nombre del sistema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ChileCompra (Mercado Público)</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Año de lanzamiento</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2003</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Qué hace</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pStyle w:val="ListParagraph"/>
              <w:numPr>
                <w:ilvl w:val="0"/>
                <w:numId w:val="2"/>
              </w:numPr>
              <w:spacing w:after="40" w:before="40"/>
            </w:pPr>
            <w:r>
              <w:rPr>
                <w:rFonts w:ascii="Arial" w:cs="Arial" w:eastAsia="Arial" w:hAnsi="Arial"/>
                <w:color w:val="000000"/>
                <w:sz w:val="20"/>
                <w:szCs w:val="20"/>
              </w:rPr>
              <w:t xml:space="preserve">Centraliza todas las compras del Estado en una plataforma pública</w:t>
            </w:r>
          </w:p>
          <w:p>
            <w:pPr>
              <w:pStyle w:val="ListParagraph"/>
              <w:numPr>
                <w:ilvl w:val="0"/>
                <w:numId w:val="2"/>
              </w:numPr>
              <w:spacing w:after="40" w:before="40"/>
            </w:pPr>
            <w:r>
              <w:rPr>
                <w:rFonts w:ascii="Arial" w:cs="Arial" w:eastAsia="Arial" w:hAnsi="Arial"/>
                <w:color w:val="000000"/>
                <w:sz w:val="20"/>
                <w:szCs w:val="20"/>
              </w:rPr>
              <w:t xml:space="preserve">Cualquier ciudadano puede ver qué compró el Estado, a quién y a qué precio</w:t>
            </w:r>
          </w:p>
          <w:p>
            <w:pPr>
              <w:pStyle w:val="ListParagraph"/>
              <w:numPr>
                <w:ilvl w:val="0"/>
                <w:numId w:val="2"/>
              </w:numPr>
              <w:spacing w:after="40" w:before="40"/>
            </w:pPr>
            <w:r>
              <w:rPr>
                <w:rFonts w:ascii="Arial" w:cs="Arial" w:eastAsia="Arial" w:hAnsi="Arial"/>
                <w:color w:val="000000"/>
                <w:sz w:val="20"/>
                <w:szCs w:val="20"/>
              </w:rPr>
              <w:t xml:space="preserve">Genera alertas cuando los precios se desvían del mercado</w:t>
            </w:r>
          </w:p>
          <w:p>
            <w:pPr>
              <w:pStyle w:val="ListParagraph"/>
              <w:numPr>
                <w:ilvl w:val="0"/>
                <w:numId w:val="2"/>
              </w:numPr>
              <w:spacing w:after="40" w:before="40"/>
            </w:pPr>
            <w:r>
              <w:rPr>
                <w:rFonts w:ascii="Arial" w:cs="Arial" w:eastAsia="Arial" w:hAnsi="Arial"/>
                <w:color w:val="000000"/>
                <w:sz w:val="20"/>
                <w:szCs w:val="20"/>
              </w:rPr>
              <w:t xml:space="preserve">Permite que cualquier empresa pueda participar en licitaciones públicas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Escala actual</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Más de 850 organismos del Estado y 150.000 proveedores activos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Volumen</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Más de 12 mil millones de dólares anuales en compras públicas visibles</w:t>
            </w:r>
          </w:p>
        </w:tc>
      </w:tr>
    </w:tbl>
    <w:p>
      <w:pPr>
        <w:spacing w:after="160" w:before="0"/>
      </w:pPr>
      <w:r>
        <w:rPr>
          <w:sz w:val="22"/>
          <w:szCs w:val="22"/>
        </w:rPr>
        <w:t xml:space="preserve"/>
      </w:r>
    </w:p>
    <w:p>
      <w:pPr>
        <w:pStyle w:val="Heading2"/>
        <w:pBdr>
          <w:bottom w:val="single" w:color="D62828" w:sz="4" w:space="4"/>
        </w:pBdr>
        <w:spacing w:after="140" w:before="280"/>
      </w:pPr>
      <w:r>
        <w:rPr>
          <w:rFonts w:ascii="Arial" w:cs="Arial" w:eastAsia="Arial" w:hAnsi="Arial"/>
          <w:b/>
          <w:bCs/>
          <w:color w:val="D62828"/>
          <w:sz w:val="28"/>
          <w:szCs w:val="28"/>
        </w:rPr>
        <w:t xml:space="preserve">Ley de Transparencia (2008)</w:t>
      </w:r>
    </w:p>
    <w:p>
      <w:pPr>
        <w:spacing w:after="80" w:before="80"/>
      </w:pPr>
      <w:r>
        <w:rPr>
          <w:rFonts w:ascii="Arial" w:cs="Arial" w:eastAsia="Arial" w:hAnsi="Arial"/>
          <w:sz w:val="22"/>
          <w:szCs w:val="22"/>
        </w:rPr>
        <w:t xml:space="preserve">En 2008 Chile aprobó una ley que obliga a todos los organismos del Estado a publicar en internet información sobre sus decisiones, presupuestos, contratos, personal y remuneraciones. Creó además el Consejo para la Transparencia como organismo autónomo que fiscaliza el cumplimiento.</w:t>
      </w:r>
    </w:p>
    <w:p>
      <w:pPr>
        <w:pStyle w:val="ListParagraph"/>
        <w:numPr>
          <w:ilvl w:val="0"/>
          <w:numId w:val="2"/>
        </w:numPr>
        <w:spacing w:after="60" w:before="60"/>
      </w:pPr>
      <w:r>
        <w:rPr>
          <w:rFonts w:ascii="Arial" w:cs="Arial" w:eastAsia="Arial" w:hAnsi="Arial"/>
          <w:sz w:val="22"/>
          <w:szCs w:val="22"/>
        </w:rPr>
        <w:t xml:space="preserve">Cualquier ciudadano puede pedir información al Estado y este tiene plazo legal para responder</w:t>
      </w:r>
    </w:p>
    <w:p>
      <w:pPr>
        <w:pStyle w:val="ListParagraph"/>
        <w:numPr>
          <w:ilvl w:val="0"/>
          <w:numId w:val="2"/>
        </w:numPr>
        <w:spacing w:after="60" w:before="60"/>
      </w:pPr>
      <w:r>
        <w:rPr>
          <w:rFonts w:ascii="Arial" w:cs="Arial" w:eastAsia="Arial" w:hAnsi="Arial"/>
          <w:sz w:val="22"/>
          <w:szCs w:val="22"/>
        </w:rPr>
        <w:t xml:space="preserve">Si el organismo no responde, el Consejo puede sancionarlo</w:t>
      </w:r>
    </w:p>
    <w:p>
      <w:pPr>
        <w:pStyle w:val="ListParagraph"/>
        <w:numPr>
          <w:ilvl w:val="0"/>
          <w:numId w:val="2"/>
        </w:numPr>
        <w:spacing w:after="60" w:before="60"/>
      </w:pPr>
      <w:r>
        <w:rPr>
          <w:rFonts w:ascii="Arial" w:cs="Arial" w:eastAsia="Arial" w:hAnsi="Arial"/>
          <w:sz w:val="22"/>
          <w:szCs w:val="22"/>
        </w:rPr>
        <w:t xml:space="preserve">Las remuneraciones de todos los funcionarios públicos son públicas</w:t>
      </w:r>
    </w:p>
    <w:p>
      <w:pPr>
        <w:pStyle w:val="ListParagraph"/>
        <w:numPr>
          <w:ilvl w:val="0"/>
          <w:numId w:val="2"/>
        </w:numPr>
        <w:spacing w:after="60" w:before="60"/>
      </w:pPr>
      <w:r>
        <w:rPr>
          <w:rFonts w:ascii="Arial" w:cs="Arial" w:eastAsia="Arial" w:hAnsi="Arial"/>
          <w:sz w:val="22"/>
          <w:szCs w:val="22"/>
        </w:rPr>
        <w:t xml:space="preserve">Los contratos del Estado son accesibles en tiempo real</w:t>
      </w:r>
    </w:p>
    <w:p>
      <w:pPr>
        <w:spacing w:after="160" w:before="0"/>
      </w:pPr>
      <w:r>
        <w:rPr>
          <w:sz w:val="22"/>
          <w:szCs w:val="22"/>
        </w:rPr>
        <w:t xml:space="preserve"/>
      </w:r>
    </w:p>
    <w:p>
      <w:pPr>
        <w:pStyle w:val="Heading2"/>
        <w:pBdr>
          <w:bottom w:val="single" w:color="D62828" w:sz="4" w:space="4"/>
        </w:pBdr>
        <w:spacing w:after="140" w:before="280"/>
      </w:pPr>
      <w:r>
        <w:rPr>
          <w:rFonts w:ascii="Arial" w:cs="Arial" w:eastAsia="Arial" w:hAnsi="Arial"/>
          <w:b/>
          <w:bCs/>
          <w:color w:val="D62828"/>
          <w:sz w:val="28"/>
          <w:szCs w:val="28"/>
        </w:rPr>
        <w:t xml:space="preserve">Ley Anticorrupción y Sistema de Integridad</w:t>
      </w:r>
    </w:p>
    <w:p>
      <w:pPr>
        <w:spacing w:after="80" w:before="80"/>
      </w:pPr>
      <w:r>
        <w:rPr>
          <w:rFonts w:ascii="Arial" w:cs="Arial" w:eastAsia="Arial" w:hAnsi="Arial"/>
          <w:sz w:val="22"/>
          <w:szCs w:val="22"/>
        </w:rPr>
        <w:t xml:space="preserve">Chile también desarrolló un sistema de declaraciones de intereses y patrimonio para funcionarios públicos. Cada funcionario debe declarar sus bienes, inversiones y vínculos empresariales al asumir el cargo y anualmente. Esto permite detectar enriquecimientos ilícitos.</w:t>
      </w:r>
    </w:p>
    <w:p>
      <w:pPr>
        <w:pStyle w:val="ListParagraph"/>
        <w:numPr>
          <w:ilvl w:val="0"/>
          <w:numId w:val="2"/>
        </w:numPr>
        <w:spacing w:after="60" w:before="60"/>
      </w:pPr>
      <w:r>
        <w:rPr>
          <w:rFonts w:ascii="Arial" w:cs="Arial" w:eastAsia="Arial" w:hAnsi="Arial"/>
          <w:sz w:val="22"/>
          <w:szCs w:val="22"/>
        </w:rPr>
        <w:t xml:space="preserve">Declaración de patrimonio obligatoria para miles de funcionarios</w:t>
      </w:r>
    </w:p>
    <w:p>
      <w:pPr>
        <w:pStyle w:val="ListParagraph"/>
        <w:numPr>
          <w:ilvl w:val="0"/>
          <w:numId w:val="2"/>
        </w:numPr>
        <w:spacing w:after="60" w:before="60"/>
      </w:pPr>
      <w:r>
        <w:rPr>
          <w:rFonts w:ascii="Arial" w:cs="Arial" w:eastAsia="Arial" w:hAnsi="Arial"/>
          <w:sz w:val="22"/>
          <w:szCs w:val="22"/>
        </w:rPr>
        <w:t xml:space="preserve">Los datos son públicos y comparables año a año</w:t>
      </w:r>
    </w:p>
    <w:p>
      <w:pPr>
        <w:pStyle w:val="ListParagraph"/>
        <w:numPr>
          <w:ilvl w:val="0"/>
          <w:numId w:val="2"/>
        </w:numPr>
        <w:spacing w:after="60" w:before="60"/>
      </w:pPr>
      <w:r>
        <w:rPr>
          <w:rFonts w:ascii="Arial" w:cs="Arial" w:eastAsia="Arial" w:hAnsi="Arial"/>
          <w:sz w:val="22"/>
          <w:szCs w:val="22"/>
        </w:rPr>
        <w:t xml:space="preserve">Permite detectar si un funcionario se enriqueció durante su cargo sin justificación</w:t>
      </w:r>
    </w:p>
    <w:p>
      <w:pPr>
        <w:spacing w:after="160" w:before="0"/>
      </w:pPr>
      <w:r>
        <w:rPr>
          <w:sz w:val="22"/>
          <w:szCs w:val="22"/>
        </w:rPr>
        <w:t xml:space="preserve"/>
      </w:r>
    </w:p>
    <w:p>
      <w:pPr>
        <w:pStyle w:val="Heading2"/>
        <w:pBdr>
          <w:bottom w:val="single" w:color="D62828" w:sz="4" w:space="4"/>
        </w:pBdr>
        <w:spacing w:after="140" w:before="280"/>
      </w:pPr>
      <w:r>
        <w:rPr>
          <w:rFonts w:ascii="Arial" w:cs="Arial" w:eastAsia="Arial" w:hAnsi="Arial"/>
          <w:b/>
          <w:bCs/>
          <w:color w:val="D62828"/>
          <w:sz w:val="28"/>
          <w:szCs w:val="28"/>
        </w:rPr>
        <w:t xml:space="preserve">Fallos y Limitaciones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D62828"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LIMITACIÓN</w:t>
            </w:r>
          </w:p>
        </w:tc>
        <w:tc>
          <w:tcPr>
            <w:tcW w:type="dxa" w:w="6960"/>
            <w:tcBorders>
              <w:top w:val="single" w:color="CCCCCC" w:sz="1" w:space="0"/>
              <w:left w:val="single" w:color="CCCCCC" w:sz="1" w:space="0"/>
              <w:bottom w:val="single" w:color="CCCCCC" w:sz="1" w:space="0"/>
              <w:right w:val="single" w:color="CCCCCC" w:sz="1" w:space="0"/>
            </w:tcBorders>
            <w:shd w:fill="D62828"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DESCRIPCIÓN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Captura del sistema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Casos de colusión entre empresas y funcionarios para dividirse licitaciones. El sistema detecta anomalías pero no siempre hay consecuencias rápidas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Fragmentación institucional</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Distintos sistemas no siempre están integrados entre sí</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Corrupción política vs. administrativa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Los sistemas técnicos controlan bien la corrupción administrativa, pero la financiación ilegal de campañas políticas requirió reformas adicionales (caso Penta, Soquimich)</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Brecha entre datos y acción</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Publicar datos no garantiza que alguien los procese y actúe. Requiere capacidad investigativa activa</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FFFFFF" w:sz="0" w:space="0"/>
              <w:left w:val="single" w:color="FFFFFF" w:sz="0" w:space="0"/>
              <w:bottom w:val="single" w:color="FFFFFF" w:sz="0" w:space="0"/>
              <w:right w:val="single" w:color="FFFFFF" w:sz="0" w:space="0"/>
            </w:tcBorders>
            <w:shd w:fill="D62828" w:val="clear"/>
            <w:tcMar>
              <w:top w:type="dxa" w:w="120"/>
              <w:left w:type="dxa" w:w="140"/>
              <w:bottom w:type="dxa" w:w="120"/>
              <w:right w:type="dxa" w:w="0"/>
            </w:tcMar>
          </w:tcPr>
          <w:p>
            <w:pPr>
              <w:spacing w:after="0" w:before="0"/>
              <w:jc w:val="center"/>
            </w:pPr>
            <w:r>
              <w:rPr>
                <w:rFonts w:ascii="Arial" w:cs="Arial" w:eastAsia="Arial" w:hAnsi="Arial"/>
                <w:color w:val="FFFFFF"/>
                <w:sz w:val="28"/>
                <w:szCs w:val="28"/>
              </w:rPr>
              <w:t xml:space="preserve">✦</w:t>
            </w:r>
          </w:p>
        </w:tc>
        <w:tc>
          <w:tcPr>
            <w:tcW w:type="dxa" w:w="9060"/>
            <w:tcBorders>
              <w:top w:val="single" w:color="FFFFFF" w:sz="0" w:space="0"/>
              <w:left w:val="single" w:color="FFFFFF" w:sz="0" w:space="0"/>
              <w:bottom w:val="single" w:color="FFFFFF" w:sz="0" w:space="0"/>
              <w:right w:val="single" w:color="FFFFFF" w:sz="0" w:space="0"/>
            </w:tcBorders>
            <w:shd w:fill="F3F4F6" w:val="clear"/>
            <w:tcMar>
              <w:top w:type="dxa" w:w="120"/>
              <w:left w:type="dxa" w:w="160"/>
              <w:bottom w:type="dxa" w:w="120"/>
              <w:right w:type="dxa" w:w="160"/>
            </w:tcMar>
          </w:tcPr>
          <w:p>
            <w:pPr>
              <w:spacing w:after="40" w:before="0"/>
            </w:pPr>
            <w:r>
              <w:rPr>
                <w:rFonts w:ascii="Arial" w:cs="Arial" w:eastAsia="Arial" w:hAnsi="Arial"/>
                <w:b/>
                <w:bCs/>
                <w:color w:val="D62828"/>
                <w:sz w:val="18"/>
                <w:szCs w:val="18"/>
              </w:rPr>
              <w:t xml:space="preserve">LECCIÓN PARA ECUADOR — CHILE</w:t>
            </w:r>
          </w:p>
          <w:p>
            <w:pPr>
              <w:spacing w:after="0" w:before="0"/>
            </w:pPr>
            <w:r>
              <w:rPr>
                <w:rFonts w:ascii="Arial" w:cs="Arial" w:eastAsia="Arial" w:hAnsi="Arial"/>
                <w:sz w:val="20"/>
                <w:szCs w:val="20"/>
              </w:rPr>
              <w:t xml:space="preserve">La transparencia en contratación pública es uno de los puntos de mayor impacto inicial en Ecuador. El SNIP debe conectarse con el sistema SERCOP desde el primer día del piloto. El cruce automático de precios de contratos con precios de mercado puede detectar sobreprecios sin necesidad de investigación manual.</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space="0"/>
              <w:left w:val="none" w:color="FFFFFF" w:sz="0" w:space="0"/>
              <w:bottom w:val="none" w:color="FFFFFF" w:sz="0" w:space="0"/>
              <w:right w:val="none" w:color="FFFFFF" w:sz="0" w:space="0"/>
            </w:tcBorders>
            <w:shd w:fill="F8F8F8" w:val="clear"/>
            <w:tcMar>
              <w:top w:type="dxa" w:w="80"/>
              <w:left w:type="dxa" w:w="120"/>
              <w:bottom w:type="dxa" w:w="80"/>
              <w:right w:type="dxa" w:w="120"/>
            </w:tcMar>
          </w:tcPr>
          <w:p>
            <w:pPr>
              <w:spacing w:after="20" w:before="0"/>
            </w:pPr>
            <w:r>
              <w:rPr>
                <w:rFonts w:ascii="Arial" w:cs="Arial" w:eastAsia="Arial" w:hAnsi="Arial"/>
                <w:b/>
                <w:bCs/>
                <w:color w:val="888888"/>
                <w:sz w:val="16"/>
                <w:szCs w:val="16"/>
              </w:rPr>
              <w:t xml:space="preserve">FUENTES DE REFERENCIA</w:t>
            </w:r>
          </w:p>
          <w:p>
            <w:pPr>
              <w:spacing w:after="20" w:before="60"/>
            </w:pPr>
            <w:r>
              <w:rPr>
                <w:rFonts w:ascii="Arial" w:cs="Arial" w:eastAsia="Arial" w:hAnsi="Arial"/>
                <w:b/>
                <w:bCs/>
                <w:color w:val="555555"/>
                <w:sz w:val="16"/>
                <w:szCs w:val="16"/>
              </w:rPr>
              <w:t xml:space="preserve">[1] ChileCompra — Portal oficial de compras públicas: </w:t>
            </w:r>
            <w:r>
              <w:rPr>
                <w:rFonts w:ascii="Arial" w:cs="Arial" w:eastAsia="Arial" w:hAnsi="Arial"/>
                <w:color w:val="1155CC"/>
                <w:sz w:val="16"/>
                <w:szCs w:val="16"/>
              </w:rPr>
              <w:t xml:space="preserve">https://www.chilecompra.cl</w:t>
            </w:r>
          </w:p>
          <w:p>
            <w:pPr>
              <w:spacing w:after="20" w:before="20"/>
            </w:pPr>
            <w:r>
              <w:rPr>
                <w:rFonts w:ascii="Arial" w:cs="Arial" w:eastAsia="Arial" w:hAnsi="Arial"/>
                <w:b/>
                <w:bCs/>
                <w:color w:val="555555"/>
                <w:sz w:val="16"/>
                <w:szCs w:val="16"/>
              </w:rPr>
              <w:t xml:space="preserve">[2] Consejo para la Transparencia de Chile: </w:t>
            </w:r>
            <w:r>
              <w:rPr>
                <w:rFonts w:ascii="Arial" w:cs="Arial" w:eastAsia="Arial" w:hAnsi="Arial"/>
                <w:color w:val="1155CC"/>
                <w:sz w:val="16"/>
                <w:szCs w:val="16"/>
              </w:rPr>
              <w:t xml:space="preserve">https://www.consejotransparencia.cl</w:t>
            </w:r>
          </w:p>
          <w:p>
            <w:pPr>
              <w:spacing w:after="20" w:before="20"/>
            </w:pPr>
            <w:r>
              <w:rPr>
                <w:rFonts w:ascii="Arial" w:cs="Arial" w:eastAsia="Arial" w:hAnsi="Arial"/>
                <w:b/>
                <w:bCs/>
                <w:color w:val="555555"/>
                <w:sz w:val="16"/>
                <w:szCs w:val="16"/>
              </w:rPr>
              <w:t xml:space="preserve">[3] Ley 20.285 de Transparencia — Biblioteca del Congreso Nacional: </w:t>
            </w:r>
            <w:r>
              <w:rPr>
                <w:rFonts w:ascii="Arial" w:cs="Arial" w:eastAsia="Arial" w:hAnsi="Arial"/>
                <w:color w:val="1155CC"/>
                <w:sz w:val="16"/>
                <w:szCs w:val="16"/>
              </w:rPr>
              <w:t xml:space="preserve">https://www.bcn.cl/leychile/navegar?idNorma=276363</w:t>
            </w:r>
          </w:p>
          <w:p>
            <w:pPr>
              <w:spacing w:after="20" w:before="20"/>
            </w:pPr>
            <w:r>
              <w:rPr>
                <w:rFonts w:ascii="Arial" w:cs="Arial" w:eastAsia="Arial" w:hAnsi="Arial"/>
                <w:b/>
                <w:bCs/>
                <w:color w:val="555555"/>
                <w:sz w:val="16"/>
                <w:szCs w:val="16"/>
              </w:rPr>
              <w:t xml:space="preserve">[4] Chile en Transparency International: </w:t>
            </w:r>
            <w:r>
              <w:rPr>
                <w:rFonts w:ascii="Arial" w:cs="Arial" w:eastAsia="Arial" w:hAnsi="Arial"/>
                <w:color w:val="1155CC"/>
                <w:sz w:val="16"/>
                <w:szCs w:val="16"/>
              </w:rPr>
              <w:t xml:space="preserve">https://www.transparency.org/en/countries/chile</w:t>
            </w:r>
          </w:p>
          <w:p>
            <w:pPr>
              <w:spacing w:after="20" w:before="20"/>
            </w:pPr>
            <w:r>
              <w:rPr>
                <w:rFonts w:ascii="Arial" w:cs="Arial" w:eastAsia="Arial" w:hAnsi="Arial"/>
                <w:b/>
                <w:bCs/>
                <w:color w:val="555555"/>
                <w:sz w:val="16"/>
                <w:szCs w:val="16"/>
              </w:rPr>
              <w:t xml:space="preserve">[5] Declaraciones de patrimonio — Servicio Civil Chile: </w:t>
            </w:r>
            <w:r>
              <w:rPr>
                <w:rFonts w:ascii="Arial" w:cs="Arial" w:eastAsia="Arial" w:hAnsi="Arial"/>
                <w:color w:val="1155CC"/>
                <w:sz w:val="16"/>
                <w:szCs w:val="16"/>
              </w:rPr>
              <w:t xml:space="preserve">https://www.serviciocivil.cl/declaraciones-de-patrimonio-e-intereses</w:t>
            </w:r>
          </w:p>
        </w:tc>
      </w:tr>
    </w:tbl>
    <w:p>
      <w:pPr>
        <w:spacing w:after="16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0" w:space="0"/>
              <w:left w:val="single" w:color="FFFFFF" w:sz="0" w:space="0"/>
              <w:bottom w:val="single" w:color="FFFFFF" w:sz="0" w:space="0"/>
              <w:right w:val="single" w:color="FFFFFF" w:sz="0" w:space="0"/>
            </w:tcBorders>
            <w:shd w:fill="1B7A3E" w:val="clear"/>
            <w:tcMar>
              <w:top w:type="dxa" w:w="160"/>
              <w:left w:type="dxa" w:w="160"/>
              <w:bottom w:type="dxa" w:w="160"/>
              <w:right w:type="dxa" w:w="0"/>
            </w:tcMar>
            <w:vAlign w:val="center"/>
          </w:tcPr>
          <w:p>
            <w:pPr>
              <w:spacing w:after="0" w:before="0"/>
              <w:jc w:val="center"/>
            </w:pPr>
            <w:r>
              <w:rPr>
                <w:rFonts w:ascii="Arial" w:cs="Arial" w:eastAsia="Arial" w:hAnsi="Arial"/>
                <w:sz w:val="44"/>
                <w:szCs w:val="44"/>
              </w:rPr>
              <w:t xml:space="preserve">🇺🇾</w:t>
            </w:r>
          </w:p>
        </w:tc>
        <w:tc>
          <w:tcPr>
            <w:tcW w:type="dxa" w:w="8560"/>
            <w:tcBorders>
              <w:top w:val="single" w:color="FFFFFF" w:sz="0" w:space="0"/>
              <w:left w:val="single" w:color="FFFFFF" w:sz="0" w:space="0"/>
              <w:bottom w:val="single" w:color="FFFFFF" w:sz="0" w:space="0"/>
              <w:right w:val="single" w:color="FFFFFF" w:sz="0" w:space="0"/>
            </w:tcBorders>
            <w:shd w:fill="1B7A3E" w:val="clear"/>
            <w:tcMar>
              <w:top w:type="dxa" w:w="160"/>
              <w:left w:type="dxa" w:w="200"/>
              <w:bottom w:type="dxa" w:w="160"/>
              <w:right w:type="dxa" w:w="200"/>
            </w:tcMar>
          </w:tcPr>
          <w:p>
            <w:pPr>
              <w:spacing w:after="0" w:before="0"/>
            </w:pPr>
            <w:r>
              <w:rPr>
                <w:rFonts w:ascii="Arial" w:cs="Arial" w:eastAsia="Arial" w:hAnsi="Arial"/>
                <w:b/>
                <w:bCs/>
                <w:color w:val="FFFFFF"/>
                <w:sz w:val="36"/>
                <w:szCs w:val="36"/>
              </w:rPr>
              <w:t xml:space="preserve">URUGUAY — Gobierno digital en contexto latinoamericano</w:t>
            </w:r>
          </w:p>
        </w:tc>
      </w:tr>
    </w:tbl>
    <w:p>
      <w:pPr>
        <w:spacing w:after="160" w:before="0"/>
      </w:pPr>
      <w:r>
        <w:rPr>
          <w:sz w:val="22"/>
          <w:szCs w:val="22"/>
        </w:rPr>
        <w:t xml:space="preserve"/>
      </w:r>
    </w:p>
    <w:p>
      <w:pPr>
        <w:pStyle w:val="Heading2"/>
        <w:pBdr>
          <w:bottom w:val="single" w:color="1B7A3E" w:sz="4" w:space="4"/>
        </w:pBdr>
        <w:spacing w:after="140" w:before="280"/>
      </w:pPr>
      <w:r>
        <w:rPr>
          <w:rFonts w:ascii="Arial" w:cs="Arial" w:eastAsia="Arial" w:hAnsi="Arial"/>
          <w:b/>
          <w:bCs/>
          <w:color w:val="1B7A3E"/>
          <w:sz w:val="28"/>
          <w:szCs w:val="28"/>
        </w:rPr>
        <w:t xml:space="preserve">Contexto</w:t>
      </w:r>
    </w:p>
    <w:p>
      <w:pPr>
        <w:spacing w:after="80" w:before="80"/>
      </w:pPr>
      <w:r>
        <w:rPr>
          <w:rFonts w:ascii="Arial" w:cs="Arial" w:eastAsia="Arial" w:hAnsi="Arial"/>
          <w:sz w:val="22"/>
          <w:szCs w:val="22"/>
        </w:rPr>
        <w:t xml:space="preserve">Uruguay es el país más avanzado en gobierno digital de América Latina según múltiples índices internacionales. Su transformación es especialmente relevante para Ecuador porque ocurrió en un contexto regional similar: presupuesto limitado, instituciones con historia burocrática y desconfianza ciudadana heredada.</w:t>
      </w:r>
    </w:p>
    <w:p>
      <w:pPr>
        <w:spacing w:after="80" w:before="80"/>
      </w:pPr>
      <w:r>
        <w:rPr>
          <w:rFonts w:ascii="Arial" w:cs="Arial" w:eastAsia="Arial" w:hAnsi="Arial"/>
          <w:sz w:val="22"/>
          <w:szCs w:val="22"/>
        </w:rPr>
        <w:t xml:space="preserve">Lo que hizo Uruguay diferente fue su estrategia: no intentó digitalizar todo de golpe. Comenzó con los servicios que más ciudadanos usaban y fue expandiendo el sistema gradualmente.</w:t>
      </w:r>
    </w:p>
    <w:p>
      <w:pPr>
        <w:spacing w:after="160" w:before="0"/>
      </w:pPr>
      <w:r>
        <w:rPr>
          <w:sz w:val="22"/>
          <w:szCs w:val="22"/>
        </w:rPr>
        <w:t xml:space="preserve"/>
      </w:r>
    </w:p>
    <w:p>
      <w:pPr>
        <w:pStyle w:val="Heading2"/>
        <w:pBdr>
          <w:bottom w:val="single" w:color="1B7A3E" w:sz="4" w:space="4"/>
        </w:pBdr>
        <w:spacing w:after="140" w:before="280"/>
      </w:pPr>
      <w:r>
        <w:rPr>
          <w:rFonts w:ascii="Arial" w:cs="Arial" w:eastAsia="Arial" w:hAnsi="Arial"/>
          <w:b/>
          <w:bCs/>
          <w:color w:val="1B7A3E"/>
          <w:sz w:val="28"/>
          <w:szCs w:val="28"/>
        </w:rPr>
        <w:t xml:space="preserve">AGESIC — Agencia de Gobierno Electrónico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1B7A3E"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CATEGORÍA</w:t>
            </w:r>
          </w:p>
        </w:tc>
        <w:tc>
          <w:tcPr>
            <w:tcW w:type="dxa" w:w="6960"/>
            <w:tcBorders>
              <w:top w:val="single" w:color="CCCCCC" w:sz="1" w:space="0"/>
              <w:left w:val="single" w:color="CCCCCC" w:sz="1" w:space="0"/>
              <w:bottom w:val="single" w:color="CCCCCC" w:sz="1" w:space="0"/>
              <w:right w:val="single" w:color="CCCCCC" w:sz="1" w:space="0"/>
            </w:tcBorders>
            <w:shd w:fill="1B7A3E"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DETALLE</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Nombre del sistema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AGESIC (Agencia de Gobierno Electrónico y Sociedad de la Información)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Año de creación</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2005</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Qué hace</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pStyle w:val="ListParagraph"/>
              <w:numPr>
                <w:ilvl w:val="0"/>
                <w:numId w:val="2"/>
              </w:numPr>
              <w:spacing w:after="40" w:before="40"/>
            </w:pPr>
            <w:r>
              <w:rPr>
                <w:rFonts w:ascii="Arial" w:cs="Arial" w:eastAsia="Arial" w:hAnsi="Arial"/>
                <w:color w:val="000000"/>
                <w:sz w:val="20"/>
                <w:szCs w:val="20"/>
              </w:rPr>
              <w:t xml:space="preserve">Coordina la transformación digital del Estado uruguayo</w:t>
            </w:r>
          </w:p>
          <w:p>
            <w:pPr>
              <w:pStyle w:val="ListParagraph"/>
              <w:numPr>
                <w:ilvl w:val="0"/>
                <w:numId w:val="2"/>
              </w:numPr>
              <w:spacing w:after="40" w:before="40"/>
            </w:pPr>
            <w:r>
              <w:rPr>
                <w:rFonts w:ascii="Arial" w:cs="Arial" w:eastAsia="Arial" w:hAnsi="Arial"/>
                <w:color w:val="000000"/>
                <w:sz w:val="20"/>
                <w:szCs w:val="20"/>
              </w:rPr>
              <w:t xml:space="preserve">Desarrolla estándares tecnológicos que todas las instituciones deben seguir</w:t>
            </w:r>
          </w:p>
          <w:p>
            <w:pPr>
              <w:pStyle w:val="ListParagraph"/>
              <w:numPr>
                <w:ilvl w:val="0"/>
                <w:numId w:val="2"/>
              </w:numPr>
              <w:spacing w:after="40" w:before="40"/>
            </w:pPr>
            <w:r>
              <w:rPr>
                <w:rFonts w:ascii="Arial" w:cs="Arial" w:eastAsia="Arial" w:hAnsi="Arial"/>
                <w:color w:val="000000"/>
                <w:sz w:val="20"/>
                <w:szCs w:val="20"/>
              </w:rPr>
              <w:t xml:space="preserve">Opera la infraestructura tecnológica central del gobierno</w:t>
            </w:r>
          </w:p>
          <w:p>
            <w:pPr>
              <w:pStyle w:val="ListParagraph"/>
              <w:numPr>
                <w:ilvl w:val="0"/>
                <w:numId w:val="2"/>
              </w:numPr>
              <w:spacing w:after="40" w:before="40"/>
            </w:pPr>
            <w:r>
              <w:rPr>
                <w:rFonts w:ascii="Arial" w:cs="Arial" w:eastAsia="Arial" w:hAnsi="Arial"/>
                <w:color w:val="000000"/>
                <w:sz w:val="20"/>
                <w:szCs w:val="20"/>
              </w:rPr>
              <w:t xml:space="preserve">Gestiona la ciberseguridad del Estado</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Logros clave</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pStyle w:val="ListParagraph"/>
              <w:numPr>
                <w:ilvl w:val="0"/>
                <w:numId w:val="2"/>
              </w:numPr>
              <w:spacing w:after="40" w:before="40"/>
            </w:pPr>
            <w:r>
              <w:rPr>
                <w:rFonts w:ascii="Arial" w:cs="Arial" w:eastAsia="Arial" w:hAnsi="Arial"/>
                <w:color w:val="000000"/>
                <w:sz w:val="20"/>
                <w:szCs w:val="20"/>
              </w:rPr>
              <w:t xml:space="preserve">99% de trámites públicos disponibles en línea</w:t>
            </w:r>
          </w:p>
          <w:p>
            <w:pPr>
              <w:pStyle w:val="ListParagraph"/>
              <w:numPr>
                <w:ilvl w:val="0"/>
                <w:numId w:val="2"/>
              </w:numPr>
              <w:spacing w:after="40" w:before="40"/>
            </w:pPr>
            <w:r>
              <w:rPr>
                <w:rFonts w:ascii="Arial" w:cs="Arial" w:eastAsia="Arial" w:hAnsi="Arial"/>
                <w:color w:val="000000"/>
                <w:sz w:val="20"/>
                <w:szCs w:val="20"/>
              </w:rPr>
              <w:t xml:space="preserve">Sistema de identidad digital con biometría</w:t>
            </w:r>
          </w:p>
          <w:p>
            <w:pPr>
              <w:pStyle w:val="ListParagraph"/>
              <w:numPr>
                <w:ilvl w:val="0"/>
                <w:numId w:val="2"/>
              </w:numPr>
              <w:spacing w:after="40" w:before="40"/>
            </w:pPr>
            <w:r>
              <w:rPr>
                <w:rFonts w:ascii="Arial" w:cs="Arial" w:eastAsia="Arial" w:hAnsi="Arial"/>
                <w:color w:val="000000"/>
                <w:sz w:val="20"/>
                <w:szCs w:val="20"/>
              </w:rPr>
              <w:t xml:space="preserve">Firma electrónica con validez legal plena</w:t>
            </w:r>
          </w:p>
          <w:p>
            <w:pPr>
              <w:pStyle w:val="ListParagraph"/>
              <w:numPr>
                <w:ilvl w:val="0"/>
                <w:numId w:val="2"/>
              </w:numPr>
              <w:spacing w:after="40" w:before="40"/>
            </w:pPr>
            <w:r>
              <w:rPr>
                <w:rFonts w:ascii="Arial" w:cs="Arial" w:eastAsia="Arial" w:hAnsi="Arial"/>
                <w:color w:val="000000"/>
                <w:sz w:val="20"/>
                <w:szCs w:val="20"/>
              </w:rPr>
              <w:t xml:space="preserve">Portal único del Estado (gub.uy) para todos los servicios</w:t>
            </w:r>
          </w:p>
        </w:tc>
      </w:tr>
    </w:tbl>
    <w:p>
      <w:pPr>
        <w:spacing w:after="160" w:before="0"/>
      </w:pPr>
      <w:r>
        <w:rPr>
          <w:sz w:val="22"/>
          <w:szCs w:val="22"/>
        </w:rPr>
        <w:t xml:space="preserve"/>
      </w:r>
    </w:p>
    <w:p>
      <w:pPr>
        <w:pStyle w:val="Heading2"/>
        <w:pBdr>
          <w:bottom w:val="single" w:color="1B7A3E" w:sz="4" w:space="4"/>
        </w:pBdr>
        <w:spacing w:after="140" w:before="280"/>
      </w:pPr>
      <w:r>
        <w:rPr>
          <w:rFonts w:ascii="Arial" w:cs="Arial" w:eastAsia="Arial" w:hAnsi="Arial"/>
          <w:b/>
          <w:bCs/>
          <w:color w:val="1B7A3E"/>
          <w:sz w:val="28"/>
          <w:szCs w:val="28"/>
        </w:rPr>
        <w:t xml:space="preserve">Portal Único del Estado</w:t>
      </w:r>
    </w:p>
    <w:p>
      <w:pPr>
        <w:spacing w:after="80" w:before="80"/>
      </w:pPr>
      <w:r>
        <w:rPr>
          <w:rFonts w:ascii="Arial" w:cs="Arial" w:eastAsia="Arial" w:hAnsi="Arial"/>
          <w:sz w:val="22"/>
          <w:szCs w:val="22"/>
        </w:rPr>
        <w:t xml:space="preserve">Uruguay creó un portal único donde los ciudadanos acceden a todos los servicios del Estado desde un solo lugar. Esto parece simple pero fue un cambio cultural enorme: implicó que todas las instituciones aceptaran compartir una plataforma común en lugar de cada una tener su propia web desarticulada.</w:t>
      </w:r>
    </w:p>
    <w:p>
      <w:pPr>
        <w:pStyle w:val="ListParagraph"/>
        <w:numPr>
          <w:ilvl w:val="0"/>
          <w:numId w:val="2"/>
        </w:numPr>
        <w:spacing w:after="60" w:before="60"/>
      </w:pPr>
      <w:r>
        <w:rPr>
          <w:rFonts w:ascii="Arial" w:cs="Arial" w:eastAsia="Arial" w:hAnsi="Arial"/>
          <w:sz w:val="22"/>
          <w:szCs w:val="22"/>
        </w:rPr>
        <w:t xml:space="preserve">Más de 500 trámites disponibles en línea</w:t>
      </w:r>
    </w:p>
    <w:p>
      <w:pPr>
        <w:pStyle w:val="ListParagraph"/>
        <w:numPr>
          <w:ilvl w:val="0"/>
          <w:numId w:val="2"/>
        </w:numPr>
        <w:spacing w:after="60" w:before="60"/>
      </w:pPr>
      <w:r>
        <w:rPr>
          <w:rFonts w:ascii="Arial" w:cs="Arial" w:eastAsia="Arial" w:hAnsi="Arial"/>
          <w:sz w:val="22"/>
          <w:szCs w:val="22"/>
        </w:rPr>
        <w:t xml:space="preserve">Un solo registro para acceder a todos los servicios</w:t>
      </w:r>
    </w:p>
    <w:p>
      <w:pPr>
        <w:pStyle w:val="ListParagraph"/>
        <w:numPr>
          <w:ilvl w:val="0"/>
          <w:numId w:val="2"/>
        </w:numPr>
        <w:spacing w:after="60" w:before="60"/>
      </w:pPr>
      <w:r>
        <w:rPr>
          <w:rFonts w:ascii="Arial" w:cs="Arial" w:eastAsia="Arial" w:hAnsi="Arial"/>
          <w:sz w:val="22"/>
          <w:szCs w:val="22"/>
        </w:rPr>
        <w:t xml:space="preserve">Los dominios institucionales no cambian con cada gobierno</w:t>
      </w:r>
    </w:p>
    <w:p>
      <w:pPr>
        <w:pStyle w:val="ListParagraph"/>
        <w:numPr>
          <w:ilvl w:val="0"/>
          <w:numId w:val="2"/>
        </w:numPr>
        <w:spacing w:after="60" w:before="60"/>
      </w:pPr>
      <w:r>
        <w:rPr>
          <w:rFonts w:ascii="Arial" w:cs="Arial" w:eastAsia="Arial" w:hAnsi="Arial"/>
          <w:sz w:val="22"/>
          <w:szCs w:val="22"/>
        </w:rPr>
        <w:t xml:space="preserve">Historial de trámites accesible para el ciudadano</w:t>
      </w:r>
    </w:p>
    <w:p>
      <w:pPr>
        <w:spacing w:after="160" w:before="0"/>
      </w:pPr>
      <w:r>
        <w:rPr>
          <w:sz w:val="22"/>
          <w:szCs w:val="22"/>
        </w:rPr>
        <w:t xml:space="preserve"/>
      </w:r>
    </w:p>
    <w:p>
      <w:pPr>
        <w:pStyle w:val="Heading2"/>
        <w:pBdr>
          <w:bottom w:val="single" w:color="1B7A3E" w:sz="4" w:space="4"/>
        </w:pBdr>
        <w:spacing w:after="140" w:before="280"/>
      </w:pPr>
      <w:r>
        <w:rPr>
          <w:rFonts w:ascii="Arial" w:cs="Arial" w:eastAsia="Arial" w:hAnsi="Arial"/>
          <w:b/>
          <w:bCs/>
          <w:color w:val="1B7A3E"/>
          <w:sz w:val="28"/>
          <w:szCs w:val="28"/>
        </w:rPr>
        <w:t xml:space="preserve">Sistema de Datos Abiertos</w:t>
      </w:r>
    </w:p>
    <w:p>
      <w:pPr>
        <w:spacing w:after="80" w:before="80"/>
      </w:pPr>
      <w:r>
        <w:rPr>
          <w:rFonts w:ascii="Arial" w:cs="Arial" w:eastAsia="Arial" w:hAnsi="Arial"/>
          <w:sz w:val="22"/>
          <w:szCs w:val="22"/>
        </w:rPr>
        <w:t xml:space="preserve">Uruguay tiene una política de datos abiertos donde el Estado publica de forma proactiva datasets de interés público: presupuesto, contratos, resultados de licitaciones, estadísticas de servicios. Esto permite que periodistas, académicos y ciudadanos analicen el funcionamiento del Estado de forma independiente.</w:t>
      </w:r>
    </w:p>
    <w:p>
      <w:pPr>
        <w:pStyle w:val="ListParagraph"/>
        <w:numPr>
          <w:ilvl w:val="0"/>
          <w:numId w:val="2"/>
        </w:numPr>
        <w:spacing w:after="60" w:before="60"/>
      </w:pPr>
      <w:r>
        <w:rPr>
          <w:rFonts w:ascii="Arial" w:cs="Arial" w:eastAsia="Arial" w:hAnsi="Arial"/>
          <w:sz w:val="22"/>
          <w:szCs w:val="22"/>
        </w:rPr>
        <w:t xml:space="preserve">Más de 400 datasets públicos accesibles libremente</w:t>
      </w:r>
    </w:p>
    <w:p>
      <w:pPr>
        <w:pStyle w:val="ListParagraph"/>
        <w:numPr>
          <w:ilvl w:val="0"/>
          <w:numId w:val="2"/>
        </w:numPr>
        <w:spacing w:after="60" w:before="60"/>
      </w:pPr>
      <w:r>
        <w:rPr>
          <w:rFonts w:ascii="Arial" w:cs="Arial" w:eastAsia="Arial" w:hAnsi="Arial"/>
          <w:sz w:val="22"/>
          <w:szCs w:val="22"/>
        </w:rPr>
        <w:t xml:space="preserve">Datos en formatos abiertos y reutilizables</w:t>
      </w:r>
    </w:p>
    <w:p>
      <w:pPr>
        <w:pStyle w:val="ListParagraph"/>
        <w:numPr>
          <w:ilvl w:val="0"/>
          <w:numId w:val="2"/>
        </w:numPr>
        <w:spacing w:after="60" w:before="60"/>
      </w:pPr>
      <w:r>
        <w:rPr>
          <w:rFonts w:ascii="Arial" w:cs="Arial" w:eastAsia="Arial" w:hAnsi="Arial"/>
          <w:sz w:val="22"/>
          <w:szCs w:val="22"/>
        </w:rPr>
        <w:t xml:space="preserve">Actualización automática y periódica</w:t>
      </w:r>
    </w:p>
    <w:p>
      <w:pPr>
        <w:spacing w:after="160" w:before="0"/>
      </w:pPr>
      <w:r>
        <w:rPr>
          <w:sz w:val="22"/>
          <w:szCs w:val="22"/>
        </w:rPr>
        <w:t xml:space="preserve"/>
      </w:r>
    </w:p>
    <w:p>
      <w:pPr>
        <w:pStyle w:val="Heading2"/>
        <w:pBdr>
          <w:bottom w:val="single" w:color="1B7A3E" w:sz="4" w:space="4"/>
        </w:pBdr>
        <w:spacing w:after="140" w:before="280"/>
      </w:pPr>
      <w:r>
        <w:rPr>
          <w:rFonts w:ascii="Arial" w:cs="Arial" w:eastAsia="Arial" w:hAnsi="Arial"/>
          <w:b/>
          <w:bCs/>
          <w:color w:val="1B7A3E"/>
          <w:sz w:val="28"/>
          <w:szCs w:val="28"/>
        </w:rPr>
        <w:t xml:space="preserve">Anticorrupción Institucional</w:t>
      </w:r>
    </w:p>
    <w:p>
      <w:pPr>
        <w:spacing w:after="80" w:before="80"/>
      </w:pPr>
      <w:r>
        <w:rPr>
          <w:rFonts w:ascii="Arial" w:cs="Arial" w:eastAsia="Arial" w:hAnsi="Arial"/>
          <w:sz w:val="22"/>
          <w:szCs w:val="22"/>
        </w:rPr>
        <w:t xml:space="preserve">Uruguay combina transparencia digital con instituciones de control fuertes y percibidas como independientes. Su Tribunal de Cuentas (equivalente a la Contraloría) tiene alta credibilidad ciudadana y actúa con relativa autonomía política.</w:t>
      </w:r>
    </w:p>
    <w:p>
      <w:pPr>
        <w:pStyle w:val="ListParagraph"/>
        <w:numPr>
          <w:ilvl w:val="0"/>
          <w:numId w:val="2"/>
        </w:numPr>
        <w:spacing w:after="60" w:before="60"/>
      </w:pPr>
      <w:r>
        <w:rPr>
          <w:rFonts w:ascii="Arial" w:cs="Arial" w:eastAsia="Arial" w:hAnsi="Arial"/>
          <w:sz w:val="22"/>
          <w:szCs w:val="22"/>
        </w:rPr>
        <w:t xml:space="preserve">Sistema de declaración de patrimonio digital para todos los funcionarios</w:t>
      </w:r>
    </w:p>
    <w:p>
      <w:pPr>
        <w:pStyle w:val="ListParagraph"/>
        <w:numPr>
          <w:ilvl w:val="0"/>
          <w:numId w:val="2"/>
        </w:numPr>
        <w:spacing w:after="60" w:before="60"/>
      </w:pPr>
      <w:r>
        <w:rPr>
          <w:rFonts w:ascii="Arial" w:cs="Arial" w:eastAsia="Arial" w:hAnsi="Arial"/>
          <w:sz w:val="22"/>
          <w:szCs w:val="22"/>
        </w:rPr>
        <w:t xml:space="preserve">Portal de denuncias ciudadanas con seguimiento público</w:t>
      </w:r>
    </w:p>
    <w:p>
      <w:pPr>
        <w:pStyle w:val="ListParagraph"/>
        <w:numPr>
          <w:ilvl w:val="0"/>
          <w:numId w:val="2"/>
        </w:numPr>
        <w:spacing w:after="60" w:before="60"/>
      </w:pPr>
      <w:r>
        <w:rPr>
          <w:rFonts w:ascii="Arial" w:cs="Arial" w:eastAsia="Arial" w:hAnsi="Arial"/>
          <w:sz w:val="22"/>
          <w:szCs w:val="22"/>
        </w:rPr>
        <w:t xml:space="preserve">Convenio con Transparency International para auditorías externas</w:t>
      </w:r>
    </w:p>
    <w:p>
      <w:pPr>
        <w:spacing w:after="160" w:before="0"/>
      </w:pPr>
      <w:r>
        <w:rPr>
          <w:sz w:val="22"/>
          <w:szCs w:val="22"/>
        </w:rPr>
        <w:t xml:space="preserve"/>
      </w:r>
    </w:p>
    <w:p>
      <w:pPr>
        <w:pStyle w:val="Heading2"/>
        <w:pBdr>
          <w:bottom w:val="single" w:color="1B7A3E" w:sz="4" w:space="4"/>
        </w:pBdr>
        <w:spacing w:after="140" w:before="280"/>
      </w:pPr>
      <w:r>
        <w:rPr>
          <w:rFonts w:ascii="Arial" w:cs="Arial" w:eastAsia="Arial" w:hAnsi="Arial"/>
          <w:b/>
          <w:bCs/>
          <w:color w:val="1B7A3E"/>
          <w:sz w:val="28"/>
          <w:szCs w:val="28"/>
        </w:rPr>
        <w:t xml:space="preserve">Fallos y Limitaciones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1B7A3E"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LIMITACIÓN</w:t>
            </w:r>
          </w:p>
        </w:tc>
        <w:tc>
          <w:tcPr>
            <w:tcW w:type="dxa" w:w="6960"/>
            <w:tcBorders>
              <w:top w:val="single" w:color="CCCCCC" w:sz="1" w:space="0"/>
              <w:left w:val="single" w:color="CCCCCC" w:sz="1" w:space="0"/>
              <w:bottom w:val="single" w:color="CCCCCC" w:sz="1" w:space="0"/>
              <w:right w:val="single" w:color="CCCCCC" w:sz="1" w:space="0"/>
            </w:tcBorders>
            <w:shd w:fill="1B7A3E"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DESCRIPCIÓN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Velocidad de adopción</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La transformación digital ha sido lenta en municipios pequeños y zonas rurales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Resistencia interna</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Algunos organismos del Estado resistieron la integración al sistema común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Brecha generacional</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Ciudadanos mayores tienen dificultad para usar servicios digitales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Tamaño del país</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Uruguay tiene 3,5 millones de habitantes. Escalar a Ecuador (18 millones) implica mayor complejidad</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FFFFFF" w:sz="0" w:space="0"/>
              <w:left w:val="single" w:color="FFFFFF" w:sz="0" w:space="0"/>
              <w:bottom w:val="single" w:color="FFFFFF" w:sz="0" w:space="0"/>
              <w:right w:val="single" w:color="FFFFFF" w:sz="0" w:space="0"/>
            </w:tcBorders>
            <w:shd w:fill="1B7A3E" w:val="clear"/>
            <w:tcMar>
              <w:top w:type="dxa" w:w="120"/>
              <w:left w:type="dxa" w:w="140"/>
              <w:bottom w:type="dxa" w:w="120"/>
              <w:right w:type="dxa" w:w="0"/>
            </w:tcMar>
          </w:tcPr>
          <w:p>
            <w:pPr>
              <w:spacing w:after="0" w:before="0"/>
              <w:jc w:val="center"/>
            </w:pPr>
            <w:r>
              <w:rPr>
                <w:rFonts w:ascii="Arial" w:cs="Arial" w:eastAsia="Arial" w:hAnsi="Arial"/>
                <w:color w:val="FFFFFF"/>
                <w:sz w:val="28"/>
                <w:szCs w:val="28"/>
              </w:rPr>
              <w:t xml:space="preserve">✦</w:t>
            </w:r>
          </w:p>
        </w:tc>
        <w:tc>
          <w:tcPr>
            <w:tcW w:type="dxa" w:w="9060"/>
            <w:tcBorders>
              <w:top w:val="single" w:color="FFFFFF" w:sz="0" w:space="0"/>
              <w:left w:val="single" w:color="FFFFFF" w:sz="0" w:space="0"/>
              <w:bottom w:val="single" w:color="FFFFFF" w:sz="0" w:space="0"/>
              <w:right w:val="single" w:color="FFFFFF" w:sz="0" w:space="0"/>
            </w:tcBorders>
            <w:shd w:fill="F3F4F6" w:val="clear"/>
            <w:tcMar>
              <w:top w:type="dxa" w:w="120"/>
              <w:left w:type="dxa" w:w="160"/>
              <w:bottom w:type="dxa" w:w="120"/>
              <w:right w:type="dxa" w:w="160"/>
            </w:tcMar>
          </w:tcPr>
          <w:p>
            <w:pPr>
              <w:spacing w:after="40" w:before="0"/>
            </w:pPr>
            <w:r>
              <w:rPr>
                <w:rFonts w:ascii="Arial" w:cs="Arial" w:eastAsia="Arial" w:hAnsi="Arial"/>
                <w:b/>
                <w:bCs/>
                <w:color w:val="1B7A3E"/>
                <w:sz w:val="18"/>
                <w:szCs w:val="18"/>
              </w:rPr>
              <w:t xml:space="preserve">LECCIÓN PARA ECUADOR — URUGUAY</w:t>
            </w:r>
          </w:p>
          <w:p>
            <w:pPr>
              <w:spacing w:after="0" w:before="0"/>
            </w:pPr>
            <w:r>
              <w:rPr>
                <w:rFonts w:ascii="Arial" w:cs="Arial" w:eastAsia="Arial" w:hAnsi="Arial"/>
                <w:sz w:val="20"/>
                <w:szCs w:val="20"/>
              </w:rPr>
              <w:t xml:space="preserve">La estrategia de portal único del Estado que no cambia con cada gobierno es directamente aplicable al Ecuador. El SNIP debe incluir desde su diseño la gestión de los dominios institucionales para que no desaparezcan con cada cambio de gobierno. Uruguay también demuestra que es posible avanzar en contexto latinoamericano con presupuesto limitado si hay voluntad política sostenida.</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space="0"/>
              <w:left w:val="none" w:color="FFFFFF" w:sz="0" w:space="0"/>
              <w:bottom w:val="none" w:color="FFFFFF" w:sz="0" w:space="0"/>
              <w:right w:val="none" w:color="FFFFFF" w:sz="0" w:space="0"/>
            </w:tcBorders>
            <w:shd w:fill="F8F8F8" w:val="clear"/>
            <w:tcMar>
              <w:top w:type="dxa" w:w="80"/>
              <w:left w:type="dxa" w:w="120"/>
              <w:bottom w:type="dxa" w:w="80"/>
              <w:right w:type="dxa" w:w="120"/>
            </w:tcMar>
          </w:tcPr>
          <w:p>
            <w:pPr>
              <w:spacing w:after="20" w:before="0"/>
            </w:pPr>
            <w:r>
              <w:rPr>
                <w:rFonts w:ascii="Arial" w:cs="Arial" w:eastAsia="Arial" w:hAnsi="Arial"/>
                <w:b/>
                <w:bCs/>
                <w:color w:val="888888"/>
                <w:sz w:val="16"/>
                <w:szCs w:val="16"/>
              </w:rPr>
              <w:t xml:space="preserve">FUENTES DE REFERENCIA</w:t>
            </w:r>
          </w:p>
          <w:p>
            <w:pPr>
              <w:spacing w:after="20" w:before="60"/>
            </w:pPr>
            <w:r>
              <w:rPr>
                <w:rFonts w:ascii="Arial" w:cs="Arial" w:eastAsia="Arial" w:hAnsi="Arial"/>
                <w:b/>
                <w:bCs/>
                <w:color w:val="555555"/>
                <w:sz w:val="16"/>
                <w:szCs w:val="16"/>
              </w:rPr>
              <w:t xml:space="preserve">[1] AGESIC — Agencia de Gobierno Electrónico Uruguay: </w:t>
            </w:r>
            <w:r>
              <w:rPr>
                <w:rFonts w:ascii="Arial" w:cs="Arial" w:eastAsia="Arial" w:hAnsi="Arial"/>
                <w:color w:val="1155CC"/>
                <w:sz w:val="16"/>
                <w:szCs w:val="16"/>
              </w:rPr>
              <w:t xml:space="preserve">https://www.gub.uy/agencia-gobierno-electronico-sociedad-informacion-conocimiento</w:t>
            </w:r>
          </w:p>
          <w:p>
            <w:pPr>
              <w:spacing w:after="20" w:before="20"/>
            </w:pPr>
            <w:r>
              <w:rPr>
                <w:rFonts w:ascii="Arial" w:cs="Arial" w:eastAsia="Arial" w:hAnsi="Arial"/>
                <w:b/>
                <w:bCs/>
                <w:color w:val="555555"/>
                <w:sz w:val="16"/>
                <w:szCs w:val="16"/>
              </w:rPr>
              <w:t xml:space="preserve">[2] Portal único del Estado uruguayo: </w:t>
            </w:r>
            <w:r>
              <w:rPr>
                <w:rFonts w:ascii="Arial" w:cs="Arial" w:eastAsia="Arial" w:hAnsi="Arial"/>
                <w:color w:val="1155CC"/>
                <w:sz w:val="16"/>
                <w:szCs w:val="16"/>
              </w:rPr>
              <w:t xml:space="preserve">https://www.gub.uy</w:t>
            </w:r>
          </w:p>
          <w:p>
            <w:pPr>
              <w:spacing w:after="20" w:before="20"/>
            </w:pPr>
            <w:r>
              <w:rPr>
                <w:rFonts w:ascii="Arial" w:cs="Arial" w:eastAsia="Arial" w:hAnsi="Arial"/>
                <w:b/>
                <w:bCs/>
                <w:color w:val="555555"/>
                <w:sz w:val="16"/>
                <w:szCs w:val="16"/>
              </w:rPr>
              <w:t xml:space="preserve">[3] Datos abiertos Uruguay: </w:t>
            </w:r>
            <w:r>
              <w:rPr>
                <w:rFonts w:ascii="Arial" w:cs="Arial" w:eastAsia="Arial" w:hAnsi="Arial"/>
                <w:color w:val="1155CC"/>
                <w:sz w:val="16"/>
                <w:szCs w:val="16"/>
              </w:rPr>
              <w:t xml:space="preserve">https://catalogodatos.gub.uy</w:t>
            </w:r>
          </w:p>
          <w:p>
            <w:pPr>
              <w:spacing w:after="20" w:before="20"/>
            </w:pPr>
            <w:r>
              <w:rPr>
                <w:rFonts w:ascii="Arial" w:cs="Arial" w:eastAsia="Arial" w:hAnsi="Arial"/>
                <w:b/>
                <w:bCs/>
                <w:color w:val="555555"/>
                <w:sz w:val="16"/>
                <w:szCs w:val="16"/>
              </w:rPr>
              <w:t xml:space="preserve">[4] Uruguay Digital — Plan de gobierno digital: </w:t>
            </w:r>
            <w:r>
              <w:rPr>
                <w:rFonts w:ascii="Arial" w:cs="Arial" w:eastAsia="Arial" w:hAnsi="Arial"/>
                <w:color w:val="1155CC"/>
                <w:sz w:val="16"/>
                <w:szCs w:val="16"/>
              </w:rPr>
              <w:t xml:space="preserve">https://www.gub.uy/ministerio-industria-energia-mineria/uruguay-digital</w:t>
            </w:r>
          </w:p>
          <w:p>
            <w:pPr>
              <w:spacing w:after="20" w:before="20"/>
            </w:pPr>
            <w:r>
              <w:rPr>
                <w:rFonts w:ascii="Arial" w:cs="Arial" w:eastAsia="Arial" w:hAnsi="Arial"/>
                <w:b/>
                <w:bCs/>
                <w:color w:val="555555"/>
                <w:sz w:val="16"/>
                <w:szCs w:val="16"/>
              </w:rPr>
              <w:t xml:space="preserve">[5] Uruguay en Transparency International: </w:t>
            </w:r>
            <w:r>
              <w:rPr>
                <w:rFonts w:ascii="Arial" w:cs="Arial" w:eastAsia="Arial" w:hAnsi="Arial"/>
                <w:color w:val="1155CC"/>
                <w:sz w:val="16"/>
                <w:szCs w:val="16"/>
              </w:rPr>
              <w:t xml:space="preserve">https://www.transparency.org/en/countries/uruguay</w:t>
            </w:r>
          </w:p>
        </w:tc>
      </w:tr>
    </w:tbl>
    <w:p>
      <w:pPr>
        <w:spacing w:after="16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0" w:space="0"/>
              <w:left w:val="single" w:color="FFFFFF" w:sz="0" w:space="0"/>
              <w:bottom w:val="single" w:color="FFFFFF" w:sz="0" w:space="0"/>
              <w:right w:val="single" w:color="FFFFFF" w:sz="0" w:space="0"/>
            </w:tcBorders>
            <w:shd w:fill="C0392B" w:val="clear"/>
            <w:tcMar>
              <w:top w:type="dxa" w:w="160"/>
              <w:left w:type="dxa" w:w="160"/>
              <w:bottom w:type="dxa" w:w="160"/>
              <w:right w:type="dxa" w:w="0"/>
            </w:tcMar>
            <w:vAlign w:val="center"/>
          </w:tcPr>
          <w:p>
            <w:pPr>
              <w:spacing w:after="0" w:before="0"/>
              <w:jc w:val="center"/>
            </w:pPr>
            <w:r>
              <w:rPr>
                <w:rFonts w:ascii="Arial" w:cs="Arial" w:eastAsia="Arial" w:hAnsi="Arial"/>
                <w:sz w:val="44"/>
                <w:szCs w:val="44"/>
              </w:rPr>
              <w:t xml:space="preserve">🇰🇷</w:t>
            </w:r>
          </w:p>
        </w:tc>
        <w:tc>
          <w:tcPr>
            <w:tcW w:type="dxa" w:w="8560"/>
            <w:tcBorders>
              <w:top w:val="single" w:color="FFFFFF" w:sz="0" w:space="0"/>
              <w:left w:val="single" w:color="FFFFFF" w:sz="0" w:space="0"/>
              <w:bottom w:val="single" w:color="FFFFFF" w:sz="0" w:space="0"/>
              <w:right w:val="single" w:color="FFFFFF" w:sz="0" w:space="0"/>
            </w:tcBorders>
            <w:shd w:fill="C0392B" w:val="clear"/>
            <w:tcMar>
              <w:top w:type="dxa" w:w="160"/>
              <w:left w:type="dxa" w:w="200"/>
              <w:bottom w:type="dxa" w:w="160"/>
              <w:right w:type="dxa" w:w="200"/>
            </w:tcMar>
          </w:tcPr>
          <w:p>
            <w:pPr>
              <w:spacing w:after="0" w:before="0"/>
            </w:pPr>
            <w:r>
              <w:rPr>
                <w:rFonts w:ascii="Arial" w:cs="Arial" w:eastAsia="Arial" w:hAnsi="Arial"/>
                <w:b/>
                <w:bCs/>
                <w:color w:val="FFFFFF"/>
                <w:sz w:val="36"/>
                <w:szCs w:val="36"/>
              </w:rPr>
              <w:t xml:space="preserve">COREA DEL SUR — Tecnología anticorrupción de primera generación</w:t>
            </w:r>
          </w:p>
        </w:tc>
      </w:tr>
    </w:tbl>
    <w:p>
      <w:pPr>
        <w:spacing w:after="160" w:before="0"/>
      </w:pPr>
      <w:r>
        <w:rPr>
          <w:sz w:val="22"/>
          <w:szCs w:val="22"/>
        </w:rPr>
        <w:t xml:space="preserve"/>
      </w:r>
    </w:p>
    <w:p>
      <w:pPr>
        <w:pStyle w:val="Heading2"/>
        <w:pBdr>
          <w:bottom w:val="single" w:color="C0392B" w:sz="4" w:space="4"/>
        </w:pBdr>
        <w:spacing w:after="140" w:before="280"/>
      </w:pPr>
      <w:r>
        <w:rPr>
          <w:rFonts w:ascii="Arial" w:cs="Arial" w:eastAsia="Arial" w:hAnsi="Arial"/>
          <w:b/>
          <w:bCs/>
          <w:color w:val="C0392B"/>
          <w:sz w:val="28"/>
          <w:szCs w:val="28"/>
        </w:rPr>
        <w:t xml:space="preserve">Contexto</w:t>
      </w:r>
    </w:p>
    <w:p>
      <w:pPr>
        <w:spacing w:after="80" w:before="80"/>
      </w:pPr>
      <w:r>
        <w:rPr>
          <w:rFonts w:ascii="Arial" w:cs="Arial" w:eastAsia="Arial" w:hAnsi="Arial"/>
          <w:sz w:val="22"/>
          <w:szCs w:val="22"/>
        </w:rPr>
        <w:t xml:space="preserve">En los años 90, Corea del Sur tenía niveles altos de corrupción, especialmente en permisos municipales, contratos públicos y favores políticos. La ciudad de Seúl decidió hacer algo radical: hacer completamente transparente el proceso de tramitación de solicitudes ciudadanas ante el gobierno local.</w:t>
      </w:r>
    </w:p>
    <w:p>
      <w:pPr>
        <w:spacing w:after="80" w:before="80"/>
      </w:pPr>
      <w:r>
        <w:rPr>
          <w:rFonts w:ascii="Arial" w:cs="Arial" w:eastAsia="Arial" w:hAnsi="Arial"/>
          <w:sz w:val="22"/>
          <w:szCs w:val="22"/>
        </w:rPr>
        <w:t xml:space="preserve">El resultado fue el sistema OPEN (Online Procedures Enhancement for Civil Applications), lanzado en 1999. Fue una de las primeras experiencias del mundo en usar tecnología digital específicamente para combatir corrupción. Su impacto fue tan notable que la ONU lo reconoció como modelo global.</w:t>
      </w:r>
    </w:p>
    <w:p>
      <w:pPr>
        <w:spacing w:after="160" w:before="0"/>
      </w:pPr>
      <w:r>
        <w:rPr>
          <w:sz w:val="22"/>
          <w:szCs w:val="22"/>
        </w:rPr>
        <w:t xml:space="preserve"/>
      </w:r>
    </w:p>
    <w:p>
      <w:pPr>
        <w:pStyle w:val="Heading2"/>
        <w:pBdr>
          <w:bottom w:val="single" w:color="C0392B" w:sz="4" w:space="4"/>
        </w:pBdr>
        <w:spacing w:after="140" w:before="280"/>
      </w:pPr>
      <w:r>
        <w:rPr>
          <w:rFonts w:ascii="Arial" w:cs="Arial" w:eastAsia="Arial" w:hAnsi="Arial"/>
          <w:b/>
          <w:bCs/>
          <w:color w:val="C0392B"/>
          <w:sz w:val="28"/>
          <w:szCs w:val="28"/>
        </w:rPr>
        <w:t xml:space="preserve">Sistema OPEN — Seúl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C0392B"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CATEGORÍA</w:t>
            </w:r>
          </w:p>
        </w:tc>
        <w:tc>
          <w:tcPr>
            <w:tcW w:type="dxa" w:w="6960"/>
            <w:tcBorders>
              <w:top w:val="single" w:color="CCCCCC" w:sz="1" w:space="0"/>
              <w:left w:val="single" w:color="CCCCCC" w:sz="1" w:space="0"/>
              <w:bottom w:val="single" w:color="CCCCCC" w:sz="1" w:space="0"/>
              <w:right w:val="single" w:color="CCCCCC" w:sz="1" w:space="0"/>
            </w:tcBorders>
            <w:shd w:fill="C0392B"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DETALLE</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Nombre del sistema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OPEN (Online Procedures Enhancement for Civil Applications)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Año de lanzamiento</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1999, ciudad de Seúl</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Problema que resolvía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La corrupción en trámites municipales ocurría porque el ciudadano no sabía en qué estado estaba su solicitud ni quién la tenía</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Solución</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pStyle w:val="ListParagraph"/>
              <w:numPr>
                <w:ilvl w:val="0"/>
                <w:numId w:val="2"/>
              </w:numPr>
              <w:spacing w:after="40" w:before="40"/>
            </w:pPr>
            <w:r>
              <w:rPr>
                <w:rFonts w:ascii="Arial" w:cs="Arial" w:eastAsia="Arial" w:hAnsi="Arial"/>
                <w:color w:val="000000"/>
                <w:sz w:val="20"/>
                <w:szCs w:val="20"/>
              </w:rPr>
              <w:t xml:space="preserve">Digitalizar completamente el proceso de cada trámite</w:t>
            </w:r>
          </w:p>
          <w:p>
            <w:pPr>
              <w:pStyle w:val="ListParagraph"/>
              <w:numPr>
                <w:ilvl w:val="0"/>
                <w:numId w:val="2"/>
              </w:numPr>
              <w:spacing w:after="40" w:before="40"/>
            </w:pPr>
            <w:r>
              <w:rPr>
                <w:rFonts w:ascii="Arial" w:cs="Arial" w:eastAsia="Arial" w:hAnsi="Arial"/>
                <w:color w:val="000000"/>
                <w:sz w:val="20"/>
                <w:szCs w:val="20"/>
              </w:rPr>
              <w:t xml:space="preserve">Permitir al ciudadano ver en tiempo real en qué etapa está su solicitud</w:t>
            </w:r>
          </w:p>
          <w:p>
            <w:pPr>
              <w:pStyle w:val="ListParagraph"/>
              <w:numPr>
                <w:ilvl w:val="0"/>
                <w:numId w:val="2"/>
              </w:numPr>
              <w:spacing w:after="40" w:before="40"/>
            </w:pPr>
            <w:r>
              <w:rPr>
                <w:rFonts w:ascii="Arial" w:cs="Arial" w:eastAsia="Arial" w:hAnsi="Arial"/>
                <w:color w:val="000000"/>
                <w:sz w:val="20"/>
                <w:szCs w:val="20"/>
              </w:rPr>
              <w:t xml:space="preserve">Mostrar el nombre del funcionario responsable de cada etapa</w:t>
            </w:r>
          </w:p>
          <w:p>
            <w:pPr>
              <w:pStyle w:val="ListParagraph"/>
              <w:numPr>
                <w:ilvl w:val="0"/>
                <w:numId w:val="2"/>
              </w:numPr>
              <w:spacing w:after="40" w:before="40"/>
            </w:pPr>
            <w:r>
              <w:rPr>
                <w:rFonts w:ascii="Arial" w:cs="Arial" w:eastAsia="Arial" w:hAnsi="Arial"/>
                <w:color w:val="000000"/>
                <w:sz w:val="20"/>
                <w:szCs w:val="20"/>
              </w:rPr>
              <w:t xml:space="preserve">Si el proceso se estancaba, el sistema generaba alerta automática</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Resultado</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pStyle w:val="ListParagraph"/>
              <w:numPr>
                <w:ilvl w:val="0"/>
                <w:numId w:val="2"/>
              </w:numPr>
              <w:spacing w:after="40" w:before="40"/>
            </w:pPr>
            <w:r>
              <w:rPr>
                <w:rFonts w:ascii="Arial" w:cs="Arial" w:eastAsia="Arial" w:hAnsi="Arial"/>
                <w:color w:val="000000"/>
                <w:sz w:val="20"/>
                <w:szCs w:val="20"/>
              </w:rPr>
              <w:t xml:space="preserve">Reducción drástica de la corrupción en trámites municipales en los primeros 2 años</w:t>
            </w:r>
          </w:p>
          <w:p>
            <w:pPr>
              <w:pStyle w:val="ListParagraph"/>
              <w:numPr>
                <w:ilvl w:val="0"/>
                <w:numId w:val="2"/>
              </w:numPr>
              <w:spacing w:after="40" w:before="40"/>
            </w:pPr>
            <w:r>
              <w:rPr>
                <w:rFonts w:ascii="Arial" w:cs="Arial" w:eastAsia="Arial" w:hAnsi="Arial"/>
                <w:color w:val="000000"/>
                <w:sz w:val="20"/>
                <w:szCs w:val="20"/>
              </w:rPr>
              <w:t xml:space="preserve">Eliminación de la necesidad de pagar coimas para acelerar trámites</w:t>
            </w:r>
          </w:p>
          <w:p>
            <w:pPr>
              <w:pStyle w:val="ListParagraph"/>
              <w:numPr>
                <w:ilvl w:val="0"/>
                <w:numId w:val="2"/>
              </w:numPr>
              <w:spacing w:after="40" w:before="40"/>
            </w:pPr>
            <w:r>
              <w:rPr>
                <w:rFonts w:ascii="Arial" w:cs="Arial" w:eastAsia="Arial" w:hAnsi="Arial"/>
                <w:color w:val="000000"/>
                <w:sz w:val="20"/>
                <w:szCs w:val="20"/>
              </w:rPr>
              <w:t xml:space="preserve">Aumento significativo de la confianza ciudadana en el gobierno local</w:t>
            </w:r>
          </w:p>
        </w:tc>
      </w:tr>
    </w:tbl>
    <w:p>
      <w:pPr>
        <w:spacing w:after="160" w:before="0"/>
      </w:pPr>
      <w:r>
        <w:rPr>
          <w:sz w:val="22"/>
          <w:szCs w:val="22"/>
        </w:rPr>
        <w:t xml:space="preserve"/>
      </w:r>
    </w:p>
    <w:p>
      <w:pPr>
        <w:pStyle w:val="Heading2"/>
        <w:pBdr>
          <w:bottom w:val="single" w:color="C0392B" w:sz="4" w:space="4"/>
        </w:pBdr>
        <w:spacing w:after="140" w:before="280"/>
      </w:pPr>
      <w:r>
        <w:rPr>
          <w:rFonts w:ascii="Arial" w:cs="Arial" w:eastAsia="Arial" w:hAnsi="Arial"/>
          <w:b/>
          <w:bCs/>
          <w:color w:val="C0392B"/>
          <w:sz w:val="28"/>
          <w:szCs w:val="28"/>
        </w:rPr>
        <w:t xml:space="preserve">El Principio Que Cambió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space="0"/>
              <w:left w:val="single" w:color="FFFFFF" w:sz="0" w:space="0"/>
              <w:bottom w:val="single" w:color="FFFFFF" w:sz="0" w:space="0"/>
              <w:right w:val="single" w:color="FFFFFF" w:sz="0" w:space="0"/>
            </w:tcBorders>
            <w:shd w:fill="C0392B" w:val="clear"/>
            <w:tcMar>
              <w:top w:type="dxa" w:w="140"/>
              <w:left w:type="dxa" w:w="220"/>
              <w:bottom w:type="dxa" w:w="140"/>
              <w:right w:type="dxa" w:w="220"/>
            </w:tcMar>
          </w:tcPr>
          <w:p>
            <w:pPr>
              <w:spacing w:after="0" w:before="0"/>
            </w:pPr>
            <w:r>
              <w:rPr>
                <w:rFonts w:ascii="Arial" w:cs="Arial" w:eastAsia="Arial" w:hAnsi="Arial"/>
                <w:b/>
                <w:bCs/>
                <w:color w:val="FFFFFF"/>
                <w:sz w:val="22"/>
                <w:szCs w:val="22"/>
              </w:rPr>
              <w:t xml:space="preserve">La corrupción en trámites ocurre en la oscuridad. Cuando el ciudadano puede ver exactamente qué funcionario tiene su expediente y cuánto tiempo lleva sin moverse, el incentivo para pedir coima desaparece. La transparencia del proceso ES el mecanismo anticorrupción.</w:t>
            </w:r>
          </w:p>
        </w:tc>
      </w:tr>
    </w:tbl>
    <w:p>
      <w:pPr>
        <w:spacing w:after="160" w:before="0"/>
      </w:pPr>
      <w:r>
        <w:rPr>
          <w:sz w:val="22"/>
          <w:szCs w:val="22"/>
        </w:rPr>
        <w:t xml:space="preserve"/>
      </w:r>
    </w:p>
    <w:p>
      <w:pPr>
        <w:pStyle w:val="Heading2"/>
        <w:pBdr>
          <w:bottom w:val="single" w:color="C0392B" w:sz="4" w:space="4"/>
        </w:pBdr>
        <w:spacing w:after="140" w:before="280"/>
      </w:pPr>
      <w:r>
        <w:rPr>
          <w:rFonts w:ascii="Arial" w:cs="Arial" w:eastAsia="Arial" w:hAnsi="Arial"/>
          <w:b/>
          <w:bCs/>
          <w:color w:val="C0392B"/>
          <w:sz w:val="28"/>
          <w:szCs w:val="28"/>
        </w:rPr>
        <w:t xml:space="preserve">Sistema Nacional KPAS</w:t>
      </w:r>
    </w:p>
    <w:p>
      <w:pPr>
        <w:spacing w:after="80" w:before="80"/>
      </w:pPr>
      <w:r>
        <w:rPr>
          <w:rFonts w:ascii="Arial" w:cs="Arial" w:eastAsia="Arial" w:hAnsi="Arial"/>
          <w:sz w:val="22"/>
          <w:szCs w:val="22"/>
        </w:rPr>
        <w:t xml:space="preserve">El éxito de OPEN en Seúl llevó a Corea a desarrollar un sistema nacional de evaluación anticorrupción (KPAS) que mide el riesgo de corrupción en todas las instituciones del gobierno central y lo publica anualmente.</w:t>
      </w:r>
    </w:p>
    <w:p>
      <w:pPr>
        <w:pStyle w:val="ListParagraph"/>
        <w:numPr>
          <w:ilvl w:val="0"/>
          <w:numId w:val="2"/>
        </w:numPr>
        <w:spacing w:after="60" w:before="60"/>
      </w:pPr>
      <w:r>
        <w:rPr>
          <w:rFonts w:ascii="Arial" w:cs="Arial" w:eastAsia="Arial" w:hAnsi="Arial"/>
          <w:sz w:val="22"/>
          <w:szCs w:val="22"/>
        </w:rPr>
        <w:t xml:space="preserve">Cada ministerio recibe una puntuación de integridad institucional</w:t>
      </w:r>
    </w:p>
    <w:p>
      <w:pPr>
        <w:pStyle w:val="ListParagraph"/>
        <w:numPr>
          <w:ilvl w:val="0"/>
          <w:numId w:val="2"/>
        </w:numPr>
        <w:spacing w:after="60" w:before="60"/>
      </w:pPr>
      <w:r>
        <w:rPr>
          <w:rFonts w:ascii="Arial" w:cs="Arial" w:eastAsia="Arial" w:hAnsi="Arial"/>
          <w:sz w:val="22"/>
          <w:szCs w:val="22"/>
        </w:rPr>
        <w:t xml:space="preserve">La puntuación es pública y comparada año a año</w:t>
      </w:r>
    </w:p>
    <w:p>
      <w:pPr>
        <w:pStyle w:val="ListParagraph"/>
        <w:numPr>
          <w:ilvl w:val="0"/>
          <w:numId w:val="2"/>
        </w:numPr>
        <w:spacing w:after="60" w:before="60"/>
      </w:pPr>
      <w:r>
        <w:rPr>
          <w:rFonts w:ascii="Arial" w:cs="Arial" w:eastAsia="Arial" w:hAnsi="Arial"/>
          <w:sz w:val="22"/>
          <w:szCs w:val="22"/>
        </w:rPr>
        <w:t xml:space="preserve">Las instituciones con puntuaciones bajas reciben intervención y auditoría adicional</w:t>
      </w:r>
    </w:p>
    <w:p>
      <w:pPr>
        <w:pStyle w:val="ListParagraph"/>
        <w:numPr>
          <w:ilvl w:val="0"/>
          <w:numId w:val="2"/>
        </w:numPr>
        <w:spacing w:after="60" w:before="60"/>
      </w:pPr>
      <w:r>
        <w:rPr>
          <w:rFonts w:ascii="Arial" w:cs="Arial" w:eastAsia="Arial" w:hAnsi="Arial"/>
          <w:sz w:val="22"/>
          <w:szCs w:val="22"/>
        </w:rPr>
        <w:t xml:space="preserve">Los funcionarios son evaluados por criterios de integridad, no solo de desempeño</w:t>
      </w:r>
    </w:p>
    <w:p>
      <w:pPr>
        <w:spacing w:after="160" w:before="0"/>
      </w:pPr>
      <w:r>
        <w:rPr>
          <w:sz w:val="22"/>
          <w:szCs w:val="22"/>
        </w:rPr>
        <w:t xml:space="preserve"/>
      </w:r>
    </w:p>
    <w:p>
      <w:pPr>
        <w:pStyle w:val="Heading2"/>
        <w:pBdr>
          <w:bottom w:val="single" w:color="C0392B" w:sz="4" w:space="4"/>
        </w:pBdr>
        <w:spacing w:after="140" w:before="280"/>
      </w:pPr>
      <w:r>
        <w:rPr>
          <w:rFonts w:ascii="Arial" w:cs="Arial" w:eastAsia="Arial" w:hAnsi="Arial"/>
          <w:b/>
          <w:bCs/>
          <w:color w:val="C0392B"/>
          <w:sz w:val="28"/>
          <w:szCs w:val="28"/>
        </w:rPr>
        <w:t xml:space="preserve">Transformación Cultural</w:t>
      </w:r>
    </w:p>
    <w:p>
      <w:pPr>
        <w:spacing w:after="80" w:before="80"/>
      </w:pPr>
      <w:r>
        <w:rPr>
          <w:rFonts w:ascii="Arial" w:cs="Arial" w:eastAsia="Arial" w:hAnsi="Arial"/>
          <w:sz w:val="22"/>
          <w:szCs w:val="22"/>
        </w:rPr>
        <w:t xml:space="preserve">Lo más notable de Corea del Sur no es solo la tecnología: es el cambio cultural que generó. Cuando la corrupción se vuelve técnicamente difícil y públicamente visible, la cultura institucional cambia con el tiempo. Los funcionarios comenzaron a rechazar coimas no solo por temor a ser atrapados, sino porque el sistema hacía que fuera casi imposible que el acto corrupto ocurriera sin dejar rastro.</w:t>
      </w:r>
    </w:p>
    <w:p>
      <w:pPr>
        <w:spacing w:after="160" w:before="0"/>
      </w:pPr>
      <w:r>
        <w:rPr>
          <w:sz w:val="22"/>
          <w:szCs w:val="22"/>
        </w:rPr>
        <w:t xml:space="preserve"/>
      </w:r>
    </w:p>
    <w:p>
      <w:pPr>
        <w:pStyle w:val="Heading2"/>
        <w:pBdr>
          <w:bottom w:val="single" w:color="C0392B" w:sz="4" w:space="4"/>
        </w:pBdr>
        <w:spacing w:after="140" w:before="280"/>
      </w:pPr>
      <w:r>
        <w:rPr>
          <w:rFonts w:ascii="Arial" w:cs="Arial" w:eastAsia="Arial" w:hAnsi="Arial"/>
          <w:b/>
          <w:bCs/>
          <w:color w:val="C0392B"/>
          <w:sz w:val="28"/>
          <w:szCs w:val="28"/>
        </w:rPr>
        <w:t xml:space="preserve">Fallos y Limitaciones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C0392B"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LIMITACIÓN</w:t>
            </w:r>
          </w:p>
        </w:tc>
        <w:tc>
          <w:tcPr>
            <w:tcW w:type="dxa" w:w="6960"/>
            <w:tcBorders>
              <w:top w:val="single" w:color="CCCCCC" w:sz="1" w:space="0"/>
              <w:left w:val="single" w:color="CCCCCC" w:sz="1" w:space="0"/>
              <w:bottom w:val="single" w:color="CCCCCC" w:sz="1" w:space="0"/>
              <w:right w:val="single" w:color="CCCCCC" w:sz="1" w:space="0"/>
            </w:tcBorders>
            <w:shd w:fill="C0392B"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DESCRIPCIÓN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Corrupción de alto nivel</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Los sistemas tecnológicos controlaron bien la corrupción administrativa cotidiana, pero la corrupción política de alto nivel (escándalo de la presidenta Park Geun-hye en 2016) requirió mecanismos distintos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Confianza inicial</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Al principio los ciudadanos desconfiaban del sistema. Fue necesario educación masiva para que lo usaran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Concentración de poder técnico</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La empresa Samsung y otras chaebol tienen influencia desproporcionada en la tecnología del Estado</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Vigilancia estatal</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El mismo sistema que detecta corrupción puede usarse para vigilar ciudadanos si no hay controles adecuados</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FFFFFF" w:sz="0" w:space="0"/>
              <w:left w:val="single" w:color="FFFFFF" w:sz="0" w:space="0"/>
              <w:bottom w:val="single" w:color="FFFFFF" w:sz="0" w:space="0"/>
              <w:right w:val="single" w:color="FFFFFF" w:sz="0" w:space="0"/>
            </w:tcBorders>
            <w:shd w:fill="C0392B" w:val="clear"/>
            <w:tcMar>
              <w:top w:type="dxa" w:w="120"/>
              <w:left w:type="dxa" w:w="140"/>
              <w:bottom w:type="dxa" w:w="120"/>
              <w:right w:type="dxa" w:w="0"/>
            </w:tcMar>
          </w:tcPr>
          <w:p>
            <w:pPr>
              <w:spacing w:after="0" w:before="0"/>
              <w:jc w:val="center"/>
            </w:pPr>
            <w:r>
              <w:rPr>
                <w:rFonts w:ascii="Arial" w:cs="Arial" w:eastAsia="Arial" w:hAnsi="Arial"/>
                <w:color w:val="FFFFFF"/>
                <w:sz w:val="28"/>
                <w:szCs w:val="28"/>
              </w:rPr>
              <w:t xml:space="preserve">✦</w:t>
            </w:r>
          </w:p>
        </w:tc>
        <w:tc>
          <w:tcPr>
            <w:tcW w:type="dxa" w:w="9060"/>
            <w:tcBorders>
              <w:top w:val="single" w:color="FFFFFF" w:sz="0" w:space="0"/>
              <w:left w:val="single" w:color="FFFFFF" w:sz="0" w:space="0"/>
              <w:bottom w:val="single" w:color="FFFFFF" w:sz="0" w:space="0"/>
              <w:right w:val="single" w:color="FFFFFF" w:sz="0" w:space="0"/>
            </w:tcBorders>
            <w:shd w:fill="F3F4F6" w:val="clear"/>
            <w:tcMar>
              <w:top w:type="dxa" w:w="120"/>
              <w:left w:type="dxa" w:w="160"/>
              <w:bottom w:type="dxa" w:w="120"/>
              <w:right w:type="dxa" w:w="160"/>
            </w:tcMar>
          </w:tcPr>
          <w:p>
            <w:pPr>
              <w:spacing w:after="40" w:before="0"/>
            </w:pPr>
            <w:r>
              <w:rPr>
                <w:rFonts w:ascii="Arial" w:cs="Arial" w:eastAsia="Arial" w:hAnsi="Arial"/>
                <w:b/>
                <w:bCs/>
                <w:color w:val="C0392B"/>
                <w:sz w:val="18"/>
                <w:szCs w:val="18"/>
              </w:rPr>
              <w:t xml:space="preserve">LECCIÓN PARA ECUADOR — COREA DEL SUR</w:t>
            </w:r>
          </w:p>
          <w:p>
            <w:pPr>
              <w:spacing w:after="0" w:before="0"/>
            </w:pPr>
            <w:r>
              <w:rPr>
                <w:rFonts w:ascii="Arial" w:cs="Arial" w:eastAsia="Arial" w:hAnsi="Arial"/>
                <w:sz w:val="20"/>
                <w:szCs w:val="20"/>
              </w:rPr>
              <w:t xml:space="preserve">El principio del sistema OPEN es directamente replicable en Ecuador: cada trámite ciudadano ante el Estado debe tener seguimiento en tiempo real y nombre visible del funcionario responsable. Esto elimina la oscuridad donde vive la corrupción cotidiana. Para el SNIP, el módulo de seguimiento de trámites puede ser el de mayor impacto inmediato en la percepción ciudadana.</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space="0"/>
              <w:left w:val="none" w:color="FFFFFF" w:sz="0" w:space="0"/>
              <w:bottom w:val="none" w:color="FFFFFF" w:sz="0" w:space="0"/>
              <w:right w:val="none" w:color="FFFFFF" w:sz="0" w:space="0"/>
            </w:tcBorders>
            <w:shd w:fill="F8F8F8" w:val="clear"/>
            <w:tcMar>
              <w:top w:type="dxa" w:w="80"/>
              <w:left w:type="dxa" w:w="120"/>
              <w:bottom w:type="dxa" w:w="80"/>
              <w:right w:type="dxa" w:w="120"/>
            </w:tcMar>
          </w:tcPr>
          <w:p>
            <w:pPr>
              <w:spacing w:after="20" w:before="0"/>
            </w:pPr>
            <w:r>
              <w:rPr>
                <w:rFonts w:ascii="Arial" w:cs="Arial" w:eastAsia="Arial" w:hAnsi="Arial"/>
                <w:b/>
                <w:bCs/>
                <w:color w:val="888888"/>
                <w:sz w:val="16"/>
                <w:szCs w:val="16"/>
              </w:rPr>
              <w:t xml:space="preserve">FUENTES DE REFERENCIA</w:t>
            </w:r>
          </w:p>
          <w:p>
            <w:pPr>
              <w:spacing w:after="20" w:before="60"/>
            </w:pPr>
            <w:r>
              <w:rPr>
                <w:rFonts w:ascii="Arial" w:cs="Arial" w:eastAsia="Arial" w:hAnsi="Arial"/>
                <w:b/>
                <w:bCs/>
                <w:color w:val="555555"/>
                <w:sz w:val="16"/>
                <w:szCs w:val="16"/>
              </w:rPr>
              <w:t xml:space="preserve">[1] ACRC — Comisión Anticorrupción y Derechos Civiles de Corea del Sur: </w:t>
            </w:r>
            <w:r>
              <w:rPr>
                <w:rFonts w:ascii="Arial" w:cs="Arial" w:eastAsia="Arial" w:hAnsi="Arial"/>
                <w:color w:val="1155CC"/>
                <w:sz w:val="16"/>
                <w:szCs w:val="16"/>
              </w:rPr>
              <w:t xml:space="preserve">https://www.acrc.go.kr/en/index.do</w:t>
            </w:r>
          </w:p>
          <w:p>
            <w:pPr>
              <w:spacing w:after="20" w:before="20"/>
            </w:pPr>
            <w:r>
              <w:rPr>
                <w:rFonts w:ascii="Arial" w:cs="Arial" w:eastAsia="Arial" w:hAnsi="Arial"/>
                <w:b/>
                <w:bCs/>
                <w:color w:val="555555"/>
                <w:sz w:val="16"/>
                <w:szCs w:val="16"/>
              </w:rPr>
              <w:t xml:space="preserve">[2] Sistema OPEN de Seúl — Referencia ONU: </w:t>
            </w:r>
            <w:r>
              <w:rPr>
                <w:rFonts w:ascii="Arial" w:cs="Arial" w:eastAsia="Arial" w:hAnsi="Arial"/>
                <w:color w:val="1155CC"/>
                <w:sz w:val="16"/>
                <w:szCs w:val="16"/>
              </w:rPr>
              <w:t xml:space="preserve">https://publicadministration.un.org/unpsa/database/2001/Online-Procedures-ENhancement-for-civil-Applications-(OPEN)</w:t>
            </w:r>
          </w:p>
          <w:p>
            <w:pPr>
              <w:spacing w:after="20" w:before="20"/>
            </w:pPr>
            <w:r>
              <w:rPr>
                <w:rFonts w:ascii="Arial" w:cs="Arial" w:eastAsia="Arial" w:hAnsi="Arial"/>
                <w:b/>
                <w:bCs/>
                <w:color w:val="555555"/>
                <w:sz w:val="16"/>
                <w:szCs w:val="16"/>
              </w:rPr>
              <w:t xml:space="preserve">[3] KPAS — Sistema de Evaluación Anticorrupción: </w:t>
            </w:r>
            <w:r>
              <w:rPr>
                <w:rFonts w:ascii="Arial" w:cs="Arial" w:eastAsia="Arial" w:hAnsi="Arial"/>
                <w:color w:val="1155CC"/>
                <w:sz w:val="16"/>
                <w:szCs w:val="16"/>
              </w:rPr>
              <w:t xml:space="preserve">https://www.acrc.go.kr/en/board.do?command=searchDetail&amp;method=searchList&amp;menuId=020203</w:t>
            </w:r>
          </w:p>
          <w:p>
            <w:pPr>
              <w:spacing w:after="20" w:before="20"/>
            </w:pPr>
            <w:r>
              <w:rPr>
                <w:rFonts w:ascii="Arial" w:cs="Arial" w:eastAsia="Arial" w:hAnsi="Arial"/>
                <w:b/>
                <w:bCs/>
                <w:color w:val="555555"/>
                <w:sz w:val="16"/>
                <w:szCs w:val="16"/>
              </w:rPr>
              <w:t xml:space="preserve">[4] Corea del Sur en Transparency International: </w:t>
            </w:r>
            <w:r>
              <w:rPr>
                <w:rFonts w:ascii="Arial" w:cs="Arial" w:eastAsia="Arial" w:hAnsi="Arial"/>
                <w:color w:val="1155CC"/>
                <w:sz w:val="16"/>
                <w:szCs w:val="16"/>
              </w:rPr>
              <w:t xml:space="preserve">https://www.transparency.org/en/countries/south-korea</w:t>
            </w:r>
          </w:p>
          <w:p>
            <w:pPr>
              <w:spacing w:after="20" w:before="20"/>
            </w:pPr>
            <w:r>
              <w:rPr>
                <w:rFonts w:ascii="Arial" w:cs="Arial" w:eastAsia="Arial" w:hAnsi="Arial"/>
                <w:b/>
                <w:bCs/>
                <w:color w:val="555555"/>
                <w:sz w:val="16"/>
                <w:szCs w:val="16"/>
              </w:rPr>
              <w:t xml:space="preserve">[5] ONU — Reconocimiento del sistema OPEN como modelo global: </w:t>
            </w:r>
            <w:r>
              <w:rPr>
                <w:rFonts w:ascii="Arial" w:cs="Arial" w:eastAsia="Arial" w:hAnsi="Arial"/>
                <w:color w:val="1155CC"/>
                <w:sz w:val="16"/>
                <w:szCs w:val="16"/>
              </w:rPr>
              <w:t xml:space="preserve">https://www.unpsa.un.org</w:t>
            </w:r>
          </w:p>
        </w:tc>
      </w:tr>
    </w:tbl>
    <w:p>
      <w:pPr>
        <w:spacing w:after="160" w:before="0"/>
      </w:pPr>
      <w:r>
        <w:rPr>
          <w:sz w:val="22"/>
          <w:szCs w:val="22"/>
        </w:rPr>
        <w:t xml:space="preserve"/>
      </w:r>
    </w:p>
    <w:p>
      <w:r>
        <w:br w:type="page"/>
      </w:r>
    </w:p>
    <w:p>
      <w:pPr>
        <w:pStyle w:val="Heading1"/>
        <w:spacing w:after="200" w:before="400"/>
      </w:pPr>
      <w:r>
        <w:rPr>
          <w:rFonts w:ascii="Arial" w:cs="Arial" w:eastAsia="Arial" w:hAnsi="Arial"/>
          <w:b/>
          <w:bCs/>
          <w:color w:val="1F3864"/>
          <w:sz w:val="38"/>
          <w:szCs w:val="38"/>
        </w:rPr>
        <w:t xml:space="preserve">ANÁLISIS COMPARADO DIRECTO</w:t>
      </w:r>
    </w:p>
    <w:p>
      <w:pPr>
        <w:spacing w:after="160" w:before="0"/>
      </w:pPr>
      <w:r>
        <w:rPr>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400"/>
        <w:gridCol w:w="1700"/>
        <w:gridCol w:w="2460"/>
      </w:tblGrid>
      <w:tr>
        <w:tc>
          <w:tcPr>
            <w:tcW w:type="dxa" w:w="18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DIMENSIÓN</w:t>
            </w:r>
          </w:p>
        </w:tc>
        <w:tc>
          <w:tcPr>
            <w:tcW w:type="dxa" w:w="15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 ESTONIA</w:t>
            </w:r>
          </w:p>
        </w:tc>
        <w:tc>
          <w:tcPr>
            <w:tcW w:type="dxa" w:w="15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 CHILE</w:t>
            </w:r>
          </w:p>
        </w:tc>
        <w:tc>
          <w:tcPr>
            <w:tcW w:type="dxa" w:w="14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 URUGUAY</w:t>
            </w:r>
          </w:p>
        </w:tc>
        <w:tc>
          <w:tcPr>
            <w:tcW w:type="dxa" w:w="17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 COREA DEL SUR</w:t>
            </w:r>
          </w:p>
        </w:tc>
        <w:tc>
          <w:tcPr>
            <w:tcW w:type="dxa" w:w="246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 ECUADOR (SNIP)</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Enfoque principal</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Interoperabilidad total del Estado</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Transparencia en contratación pública</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Gobierno digital integrado</w:t>
            </w:r>
          </w:p>
        </w:tc>
        <w:tc>
          <w:tcPr>
            <w:tcW w:type="dxa" w:w="17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Anticorrupción en trámites</w:t>
            </w:r>
          </w:p>
        </w:tc>
        <w:tc>
          <w:tcPr>
            <w:tcW w:type="dxa" w:w="24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Detección automática de fallas y corrupción</w:t>
            </w:r>
          </w:p>
        </w:tc>
      </w:tr>
      <w:tr>
        <w:tc>
          <w:tcPr>
            <w:tcW w:type="dxa" w:w="1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Año de inicio</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2001</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2003</w:t>
            </w:r>
          </w:p>
        </w:tc>
        <w:tc>
          <w:tcPr>
            <w:tcW w:type="dxa" w:w="1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2005</w:t>
            </w:r>
          </w:p>
        </w:tc>
        <w:tc>
          <w:tcPr>
            <w:tcW w:type="dxa" w:w="17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1999</w:t>
            </w:r>
          </w:p>
        </w:tc>
        <w:tc>
          <w:tcPr>
            <w:tcW w:type="dxa" w:w="24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Propuesto</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Cobertura</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100% del Estado</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Contratación pública + transparencia</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100% del Estado</w:t>
            </w:r>
          </w:p>
        </w:tc>
        <w:tc>
          <w:tcPr>
            <w:tcW w:type="dxa" w:w="17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Municipal → Nacional</w:t>
            </w:r>
          </w:p>
        </w:tc>
        <w:tc>
          <w:tcPr>
            <w:tcW w:type="dxa" w:w="24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Todos los brazos del Estado</w:t>
            </w:r>
          </w:p>
        </w:tc>
      </w:tr>
      <w:tr>
        <w:tc>
          <w:tcPr>
            <w:tcW w:type="dxa" w:w="1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Tecnología central</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X-Road (interoperabilidad)</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Portal de compras públicas</w:t>
            </w:r>
          </w:p>
        </w:tc>
        <w:tc>
          <w:tcPr>
            <w:tcW w:type="dxa" w:w="1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Portal único + datos abiertos</w:t>
            </w:r>
          </w:p>
        </w:tc>
        <w:tc>
          <w:tcPr>
            <w:tcW w:type="dxa" w:w="17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OPEN + KPAS</w:t>
            </w:r>
          </w:p>
        </w:tc>
        <w:tc>
          <w:tcPr>
            <w:tcW w:type="dxa" w:w="24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IA + NLP jurídico + análisis financiero</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Control ciudadano</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Ver quién accede a sus datos</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Ver contratos y precios</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Portal único + datos abiertos</w:t>
            </w:r>
          </w:p>
        </w:tc>
        <w:tc>
          <w:tcPr>
            <w:tcW w:type="dxa" w:w="17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Ver estado de sus trámites</w:t>
            </w:r>
          </w:p>
        </w:tc>
        <w:tc>
          <w:tcPr>
            <w:tcW w:type="dxa" w:w="24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Panel en tiempo real + módulo de revocatoria</w:t>
            </w:r>
          </w:p>
        </w:tc>
      </w:tr>
      <w:tr>
        <w:tc>
          <w:tcPr>
            <w:tcW w:type="dxa" w:w="1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Mecanismo anticorrupción</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Trazabilidad de acceso a datos</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Precios públicos + alertas</w:t>
            </w:r>
          </w:p>
        </w:tc>
        <w:tc>
          <w:tcPr>
            <w:tcW w:type="dxa" w:w="1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Datos abiertos + declaraciones</w:t>
            </w:r>
          </w:p>
        </w:tc>
        <w:tc>
          <w:tcPr>
            <w:tcW w:type="dxa" w:w="17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Visibilidad de trámites</w:t>
            </w:r>
          </w:p>
        </w:tc>
        <w:tc>
          <w:tcPr>
            <w:tcW w:type="dxa" w:w="24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Alertas automáticas + informes semanales</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Independencia institucional</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Alta</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Media-alta</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Alta</w:t>
            </w:r>
          </w:p>
        </w:tc>
        <w:tc>
          <w:tcPr>
            <w:tcW w:type="dxa" w:w="17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Media</w:t>
            </w:r>
          </w:p>
        </w:tc>
        <w:tc>
          <w:tcPr>
            <w:tcW w:type="dxa" w:w="24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Diseñada desde el inicio</w:t>
            </w:r>
          </w:p>
        </w:tc>
      </w:tr>
      <w:tr>
        <w:tc>
          <w:tcPr>
            <w:tcW w:type="dxa" w:w="1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Índice CPI 2023</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76 / 100</w:t>
            </w:r>
          </w:p>
        </w:tc>
        <w:tc>
          <w:tcPr>
            <w:tcW w:type="dxa" w:w="15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67 / 100</w:t>
            </w:r>
          </w:p>
        </w:tc>
        <w:tc>
          <w:tcPr>
            <w:tcW w:type="dxa" w:w="1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73 / 100</w:t>
            </w:r>
          </w:p>
        </w:tc>
        <w:tc>
          <w:tcPr>
            <w:tcW w:type="dxa" w:w="17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63 / 100</w:t>
            </w:r>
          </w:p>
        </w:tc>
        <w:tc>
          <w:tcPr>
            <w:tcW w:type="dxa" w:w="24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34 / 100</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space="0"/>
              <w:left w:val="none" w:color="FFFFFF" w:sz="0" w:space="0"/>
              <w:bottom w:val="none" w:color="FFFFFF" w:sz="0" w:space="0"/>
              <w:right w:val="none" w:color="FFFFFF" w:sz="0" w:space="0"/>
            </w:tcBorders>
            <w:shd w:fill="F8F8F8" w:val="clear"/>
            <w:tcMar>
              <w:top w:type="dxa" w:w="80"/>
              <w:left w:type="dxa" w:w="120"/>
              <w:bottom w:type="dxa" w:w="80"/>
              <w:right w:type="dxa" w:w="120"/>
            </w:tcMar>
          </w:tcPr>
          <w:p>
            <w:pPr>
              <w:spacing w:after="20" w:before="0"/>
            </w:pPr>
            <w:r>
              <w:rPr>
                <w:rFonts w:ascii="Arial" w:cs="Arial" w:eastAsia="Arial" w:hAnsi="Arial"/>
                <w:b/>
                <w:bCs/>
                <w:color w:val="888888"/>
                <w:sz w:val="16"/>
                <w:szCs w:val="16"/>
              </w:rPr>
              <w:t xml:space="preserve">FUENTES DE REFERENCIA</w:t>
            </w:r>
          </w:p>
          <w:p>
            <w:pPr>
              <w:spacing w:after="20" w:before="60"/>
            </w:pPr>
            <w:r>
              <w:rPr>
                <w:rFonts w:ascii="Arial" w:cs="Arial" w:eastAsia="Arial" w:hAnsi="Arial"/>
                <w:b/>
                <w:bCs/>
                <w:color w:val="555555"/>
                <w:sz w:val="16"/>
                <w:szCs w:val="16"/>
              </w:rPr>
              <w:t xml:space="preserve">[1] Transparency International — CPI 2024 (todos los países): </w:t>
            </w:r>
            <w:r>
              <w:rPr>
                <w:rFonts w:ascii="Arial" w:cs="Arial" w:eastAsia="Arial" w:hAnsi="Arial"/>
                <w:color w:val="1155CC"/>
                <w:sz w:val="16"/>
                <w:szCs w:val="16"/>
              </w:rPr>
              <w:t xml:space="preserve">https://www.transparency.org/en/cpi/2024</w:t>
            </w:r>
          </w:p>
          <w:p>
            <w:pPr>
              <w:spacing w:after="20" w:before="20"/>
            </w:pPr>
            <w:r>
              <w:rPr>
                <w:rFonts w:ascii="Arial" w:cs="Arial" w:eastAsia="Arial" w:hAnsi="Arial"/>
                <w:b/>
                <w:bCs/>
                <w:color w:val="555555"/>
                <w:sz w:val="16"/>
                <w:szCs w:val="16"/>
              </w:rPr>
              <w:t xml:space="preserve">[2] ONU — Encuesta de Gobierno Electrónico 2024: </w:t>
            </w:r>
            <w:r>
              <w:rPr>
                <w:rFonts w:ascii="Arial" w:cs="Arial" w:eastAsia="Arial" w:hAnsi="Arial"/>
                <w:color w:val="1155CC"/>
                <w:sz w:val="16"/>
                <w:szCs w:val="16"/>
              </w:rPr>
              <w:t xml:space="preserve">https://publicadministration.un.org/egovkb/en-us/Reports/UN-E-Government-Survey-2024</w:t>
            </w:r>
          </w:p>
          <w:p>
            <w:pPr>
              <w:spacing w:after="20" w:before="20"/>
            </w:pPr>
            <w:r>
              <w:rPr>
                <w:rFonts w:ascii="Arial" w:cs="Arial" w:eastAsia="Arial" w:hAnsi="Arial"/>
                <w:b/>
                <w:bCs/>
                <w:color w:val="555555"/>
                <w:sz w:val="16"/>
                <w:szCs w:val="16"/>
              </w:rPr>
              <w:t xml:space="preserve">[3] Banco Mundial — Indicadores de Gobernanza Mundial: </w:t>
            </w:r>
            <w:r>
              <w:rPr>
                <w:rFonts w:ascii="Arial" w:cs="Arial" w:eastAsia="Arial" w:hAnsi="Arial"/>
                <w:color w:val="1155CC"/>
                <w:sz w:val="16"/>
                <w:szCs w:val="16"/>
              </w:rPr>
              <w:t xml:space="preserve">https://info.worldbank.org/governance/wgi</w:t>
            </w:r>
          </w:p>
          <w:p>
            <w:pPr>
              <w:spacing w:after="20" w:before="20"/>
            </w:pPr>
            <w:r>
              <w:rPr>
                <w:rFonts w:ascii="Arial" w:cs="Arial" w:eastAsia="Arial" w:hAnsi="Arial"/>
                <w:b/>
                <w:bCs/>
                <w:color w:val="555555"/>
                <w:sz w:val="16"/>
                <w:szCs w:val="16"/>
              </w:rPr>
              <w:t xml:space="preserve">[4] OCDE — Datos de gobierno digital por país: </w:t>
            </w:r>
            <w:r>
              <w:rPr>
                <w:rFonts w:ascii="Arial" w:cs="Arial" w:eastAsia="Arial" w:hAnsi="Arial"/>
                <w:color w:val="1155CC"/>
                <w:sz w:val="16"/>
                <w:szCs w:val="16"/>
              </w:rPr>
              <w:t xml:space="preserve">https://www.oecd.org/en/topics/digital-government.html</w:t>
            </w:r>
          </w:p>
        </w:tc>
      </w:tr>
    </w:tbl>
    <w:p>
      <w:pPr>
        <w:spacing w:after="160" w:before="0"/>
      </w:pPr>
      <w:r>
        <w:rPr>
          <w:sz w:val="22"/>
          <w:szCs w:val="22"/>
        </w:rPr>
        <w:t xml:space="preserve"/>
      </w:r>
    </w:p>
    <w:p>
      <w:r>
        <w:br w:type="page"/>
      </w:r>
    </w:p>
    <w:p>
      <w:pPr>
        <w:pStyle w:val="Heading1"/>
        <w:spacing w:after="200" w:before="400"/>
      </w:pPr>
      <w:r>
        <w:rPr>
          <w:rFonts w:ascii="Arial" w:cs="Arial" w:eastAsia="Arial" w:hAnsi="Arial"/>
          <w:b/>
          <w:bCs/>
          <w:color w:val="1F3864"/>
          <w:sz w:val="38"/>
          <w:szCs w:val="38"/>
        </w:rPr>
        <w:t xml:space="preserve">VINCULACIÓN ESTRATÉGICA CON ECUADOR</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space="0"/>
              <w:left w:val="single" w:color="FFFFFF" w:sz="0" w:space="0"/>
              <w:bottom w:val="single" w:color="FFFFFF" w:sz="0" w:space="0"/>
              <w:right w:val="single" w:color="FFFFFF" w:sz="0" w:space="0"/>
            </w:tcBorders>
            <w:shd w:fill="7B4F00" w:val="clear"/>
            <w:tcMar>
              <w:top w:type="dxa" w:w="140"/>
              <w:left w:type="dxa" w:w="220"/>
              <w:bottom w:type="dxa" w:w="140"/>
              <w:right w:type="dxa" w:w="220"/>
            </w:tcMar>
          </w:tcPr>
          <w:p>
            <w:pPr>
              <w:spacing w:after="0" w:before="0"/>
            </w:pPr>
            <w:r>
              <w:rPr>
                <w:rFonts w:ascii="Arial" w:cs="Arial" w:eastAsia="Arial" w:hAnsi="Arial"/>
                <w:b/>
                <w:bCs/>
                <w:color w:val="FFFFFF"/>
                <w:sz w:val="22"/>
                <w:szCs w:val="22"/>
              </w:rPr>
              <w:t xml:space="preserve">Ecuador tiene un score de 34/100 en el Índice de Percepción de la Corrupción 2023. Los cuatro países de referencia están entre 63 y 76. La diferencia no es de intención: es de sistemas.</w:t>
            </w:r>
          </w:p>
        </w:tc>
      </w:tr>
    </w:tbl>
    <w:p>
      <w:pPr>
        <w:spacing w:after="160" w:before="0"/>
      </w:pPr>
      <w:r>
        <w:rPr>
          <w:sz w:val="22"/>
          <w:szCs w:val="22"/>
        </w:rPr>
        <w:t xml:space="preserve"/>
      </w:r>
    </w:p>
    <w:p>
      <w:pPr>
        <w:pStyle w:val="Heading2"/>
        <w:pBdr>
          <w:bottom w:val="single" w:color="2E5FA3" w:sz="4" w:space="4"/>
        </w:pBdr>
        <w:spacing w:after="140" w:before="280"/>
      </w:pPr>
      <w:r>
        <w:rPr>
          <w:rFonts w:ascii="Arial" w:cs="Arial" w:eastAsia="Arial" w:hAnsi="Arial"/>
          <w:b/>
          <w:bCs/>
          <w:color w:val="2E5FA3"/>
          <w:sz w:val="28"/>
          <w:szCs w:val="28"/>
        </w:rPr>
        <w:t xml:space="preserve">Lo Que Ecuador Puede Tomar de Cada Modelo</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0" w:space="0"/>
              <w:left w:val="single" w:color="FFFFFF" w:sz="0" w:space="0"/>
              <w:bottom w:val="single" w:color="FFFFFF" w:sz="0" w:space="0"/>
              <w:right w:val="single" w:color="FFFFFF" w:sz="0" w:space="0"/>
            </w:tcBorders>
            <w:shd w:fill="005B99" w:val="clear"/>
            <w:tcMar>
              <w:top w:type="dxa" w:w="120"/>
              <w:left w:type="dxa" w:w="120"/>
              <w:bottom w:type="dxa" w:w="120"/>
              <w:right w:type="dxa" w:w="0"/>
            </w:tcMar>
          </w:tcPr>
          <w:p>
            <w:pPr>
              <w:spacing w:after="0" w:before="0"/>
              <w:jc w:val="center"/>
            </w:pPr>
            <w:r>
              <w:rPr>
                <w:rFonts w:ascii="Arial" w:cs="Arial" w:eastAsia="Arial" w:hAnsi="Arial"/>
                <w:sz w:val="32"/>
                <w:szCs w:val="32"/>
              </w:rPr>
              <w:t xml:space="preserve">🇪🇪</w:t>
            </w:r>
          </w:p>
          <w:p>
            <w:pPr>
              <w:spacing w:after="0" w:before="0"/>
              <w:jc w:val="center"/>
            </w:pPr>
            <w:r>
              <w:rPr>
                <w:rFonts w:ascii="Arial" w:cs="Arial" w:eastAsia="Arial" w:hAnsi="Arial"/>
                <w:b/>
                <w:bCs/>
                <w:color w:val="FFFFFF"/>
                <w:sz w:val="18"/>
                <w:szCs w:val="18"/>
              </w:rPr>
              <w:t xml:space="preserve">Estonia</w:t>
            </w:r>
          </w:p>
        </w:tc>
        <w:tc>
          <w:tcPr>
            <w:tcW w:type="dxa" w:w="8360"/>
            <w:tcBorders>
              <w:top w:val="single" w:color="CCCCCC" w:sz="1" w:space="0"/>
              <w:left w:val="single" w:color="CCCCCC" w:sz="1" w:space="0"/>
              <w:bottom w:val="single" w:color="CCCCCC" w:sz="1" w:space="0"/>
              <w:right w:val="single" w:color="CCCCCC" w:sz="1" w:space="0"/>
            </w:tcBorders>
            <w:tcMar>
              <w:top w:type="dxa" w:w="120"/>
              <w:left w:type="dxa" w:w="160"/>
              <w:bottom w:type="dxa" w:w="120"/>
              <w:right w:type="dxa" w:w="160"/>
            </w:tcMar>
          </w:tcPr>
          <w:p>
            <w:pPr>
              <w:spacing w:after="60" w:before="0"/>
            </w:pPr>
            <w:r>
              <w:rPr>
                <w:rFonts w:ascii="Arial" w:cs="Arial" w:eastAsia="Arial" w:hAnsi="Arial"/>
                <w:b/>
                <w:bCs/>
                <w:color w:val="005B99"/>
                <w:sz w:val="22"/>
                <w:szCs w:val="22"/>
              </w:rPr>
              <w:t xml:space="preserve">Aplicar al SNIP:</w:t>
            </w:r>
          </w:p>
          <w:p>
            <w:pPr>
              <w:pStyle w:val="ListParagraph"/>
              <w:numPr>
                <w:ilvl w:val="0"/>
                <w:numId w:val="2"/>
              </w:numPr>
              <w:spacing w:after="40" w:before="40"/>
            </w:pPr>
            <w:r>
              <w:rPr>
                <w:rFonts w:ascii="Arial" w:cs="Arial" w:eastAsia="Arial" w:hAnsi="Arial"/>
                <w:sz w:val="22"/>
                <w:szCs w:val="22"/>
              </w:rPr>
              <w:t xml:space="preserve">Principio de interoperabilidad: conectar todas las bases de datos del Estado en una sola plataforma (SNIP como X-Road ecuatoriano)</w:t>
            </w:r>
          </w:p>
          <w:p>
            <w:pPr>
              <w:pStyle w:val="ListParagraph"/>
              <w:numPr>
                <w:ilvl w:val="0"/>
                <w:numId w:val="2"/>
              </w:numPr>
              <w:spacing w:after="40" w:before="40"/>
            </w:pPr>
            <w:r>
              <w:rPr>
                <w:rFonts w:ascii="Arial" w:cs="Arial" w:eastAsia="Arial" w:hAnsi="Arial"/>
                <w:sz w:val="22"/>
                <w:szCs w:val="22"/>
              </w:rPr>
              <w:t xml:space="preserve">Registro inmutable de quién accede a qué dato y cuándo: trazabilidad total</w:t>
            </w:r>
          </w:p>
          <w:p>
            <w:pPr>
              <w:pStyle w:val="ListParagraph"/>
              <w:numPr>
                <w:ilvl w:val="0"/>
                <w:numId w:val="2"/>
              </w:numPr>
              <w:spacing w:after="0" w:before="40"/>
            </w:pPr>
            <w:r>
              <w:rPr>
                <w:rFonts w:ascii="Arial" w:cs="Arial" w:eastAsia="Arial" w:hAnsi="Arial"/>
                <w:sz w:val="22"/>
                <w:szCs w:val="22"/>
              </w:rPr>
              <w:t xml:space="preserve">Identidad digital verificada para el módulo ciudadano (denuncias y revocatoria)</w:t>
            </w:r>
          </w:p>
        </w:tc>
      </w:tr>
      <w:tr>
        <w:tc>
          <w:tcPr>
            <w:tcW w:type="dxa" w:w="1000"/>
            <w:tcBorders>
              <w:top w:val="single" w:color="FFFFFF" w:sz="0" w:space="0"/>
              <w:left w:val="single" w:color="FFFFFF" w:sz="0" w:space="0"/>
              <w:bottom w:val="single" w:color="FFFFFF" w:sz="0" w:space="0"/>
              <w:right w:val="single" w:color="FFFFFF" w:sz="0" w:space="0"/>
            </w:tcBorders>
            <w:shd w:fill="D62828" w:val="clear"/>
            <w:tcMar>
              <w:top w:type="dxa" w:w="120"/>
              <w:left w:type="dxa" w:w="120"/>
              <w:bottom w:type="dxa" w:w="120"/>
              <w:right w:type="dxa" w:w="0"/>
            </w:tcMar>
          </w:tcPr>
          <w:p>
            <w:pPr>
              <w:spacing w:after="0" w:before="0"/>
              <w:jc w:val="center"/>
            </w:pPr>
            <w:r>
              <w:rPr>
                <w:rFonts w:ascii="Arial" w:cs="Arial" w:eastAsia="Arial" w:hAnsi="Arial"/>
                <w:sz w:val="32"/>
                <w:szCs w:val="32"/>
              </w:rPr>
              <w:t xml:space="preserve">🇨🇱</w:t>
            </w:r>
          </w:p>
          <w:p>
            <w:pPr>
              <w:spacing w:after="0" w:before="0"/>
              <w:jc w:val="center"/>
            </w:pPr>
            <w:r>
              <w:rPr>
                <w:rFonts w:ascii="Arial" w:cs="Arial" w:eastAsia="Arial" w:hAnsi="Arial"/>
                <w:b/>
                <w:bCs/>
                <w:color w:val="FFFFFF"/>
                <w:sz w:val="18"/>
                <w:szCs w:val="18"/>
              </w:rPr>
              <w:t xml:space="preserve">Chile</w:t>
            </w:r>
          </w:p>
        </w:tc>
        <w:tc>
          <w:tcPr>
            <w:tcW w:type="dxa" w:w="8360"/>
            <w:tcBorders>
              <w:top w:val="single" w:color="CCCCCC" w:sz="1" w:space="0"/>
              <w:left w:val="single" w:color="CCCCCC" w:sz="1" w:space="0"/>
              <w:bottom w:val="single" w:color="CCCCCC" w:sz="1" w:space="0"/>
              <w:right w:val="single" w:color="CCCCCC" w:sz="1" w:space="0"/>
            </w:tcBorders>
            <w:tcMar>
              <w:top w:type="dxa" w:w="120"/>
              <w:left w:type="dxa" w:w="160"/>
              <w:bottom w:type="dxa" w:w="120"/>
              <w:right w:type="dxa" w:w="160"/>
            </w:tcMar>
          </w:tcPr>
          <w:p>
            <w:pPr>
              <w:spacing w:after="60" w:before="0"/>
            </w:pPr>
            <w:r>
              <w:rPr>
                <w:rFonts w:ascii="Arial" w:cs="Arial" w:eastAsia="Arial" w:hAnsi="Arial"/>
                <w:b/>
                <w:bCs/>
                <w:color w:val="D62828"/>
                <w:sz w:val="22"/>
                <w:szCs w:val="22"/>
              </w:rPr>
              <w:t xml:space="preserve">Aplicar al SNIP:</w:t>
            </w:r>
          </w:p>
          <w:p>
            <w:pPr>
              <w:pStyle w:val="ListParagraph"/>
              <w:numPr>
                <w:ilvl w:val="0"/>
                <w:numId w:val="2"/>
              </w:numPr>
              <w:spacing w:after="40" w:before="40"/>
            </w:pPr>
            <w:r>
              <w:rPr>
                <w:rFonts w:ascii="Arial" w:cs="Arial" w:eastAsia="Arial" w:hAnsi="Arial"/>
                <w:sz w:val="22"/>
                <w:szCs w:val="22"/>
              </w:rPr>
              <w:t xml:space="preserve">Integración inmediata con SERCOP (Sistema Nacional de Contratación Pública): cruce automático de precios de contratos con precios de mercado</w:t>
            </w:r>
          </w:p>
          <w:p>
            <w:pPr>
              <w:pStyle w:val="ListParagraph"/>
              <w:numPr>
                <w:ilvl w:val="0"/>
                <w:numId w:val="2"/>
              </w:numPr>
              <w:spacing w:after="40" w:before="40"/>
            </w:pPr>
            <w:r>
              <w:rPr>
                <w:rFonts w:ascii="Arial" w:cs="Arial" w:eastAsia="Arial" w:hAnsi="Arial"/>
                <w:sz w:val="22"/>
                <w:szCs w:val="22"/>
              </w:rPr>
              <w:t xml:space="preserve">Declaraciones de patrimonio digitales y comparables año a año para todos los funcionarios públicos</w:t>
            </w:r>
          </w:p>
          <w:p>
            <w:pPr>
              <w:pStyle w:val="ListParagraph"/>
              <w:numPr>
                <w:ilvl w:val="0"/>
                <w:numId w:val="2"/>
              </w:numPr>
              <w:spacing w:after="0" w:before="40"/>
            </w:pPr>
            <w:r>
              <w:rPr>
                <w:rFonts w:ascii="Arial" w:cs="Arial" w:eastAsia="Arial" w:hAnsi="Arial"/>
                <w:sz w:val="22"/>
                <w:szCs w:val="22"/>
              </w:rPr>
              <w:t xml:space="preserve">Consejo autónomo de transparencia como modelo para el directorio del SNIP</w:t>
            </w:r>
          </w:p>
        </w:tc>
      </w:tr>
      <w:tr>
        <w:tc>
          <w:tcPr>
            <w:tcW w:type="dxa" w:w="1000"/>
            <w:tcBorders>
              <w:top w:val="single" w:color="FFFFFF" w:sz="0" w:space="0"/>
              <w:left w:val="single" w:color="FFFFFF" w:sz="0" w:space="0"/>
              <w:bottom w:val="single" w:color="FFFFFF" w:sz="0" w:space="0"/>
              <w:right w:val="single" w:color="FFFFFF" w:sz="0" w:space="0"/>
            </w:tcBorders>
            <w:shd w:fill="1B7A3E" w:val="clear"/>
            <w:tcMar>
              <w:top w:type="dxa" w:w="120"/>
              <w:left w:type="dxa" w:w="120"/>
              <w:bottom w:type="dxa" w:w="120"/>
              <w:right w:type="dxa" w:w="0"/>
            </w:tcMar>
          </w:tcPr>
          <w:p>
            <w:pPr>
              <w:spacing w:after="0" w:before="0"/>
              <w:jc w:val="center"/>
            </w:pPr>
            <w:r>
              <w:rPr>
                <w:rFonts w:ascii="Arial" w:cs="Arial" w:eastAsia="Arial" w:hAnsi="Arial"/>
                <w:sz w:val="32"/>
                <w:szCs w:val="32"/>
              </w:rPr>
              <w:t xml:space="preserve">🇺🇾</w:t>
            </w:r>
          </w:p>
          <w:p>
            <w:pPr>
              <w:spacing w:after="0" w:before="0"/>
              <w:jc w:val="center"/>
            </w:pPr>
            <w:r>
              <w:rPr>
                <w:rFonts w:ascii="Arial" w:cs="Arial" w:eastAsia="Arial" w:hAnsi="Arial"/>
                <w:b/>
                <w:bCs/>
                <w:color w:val="FFFFFF"/>
                <w:sz w:val="18"/>
                <w:szCs w:val="18"/>
              </w:rPr>
              <w:t xml:space="preserve">Uruguay</w:t>
            </w:r>
          </w:p>
        </w:tc>
        <w:tc>
          <w:tcPr>
            <w:tcW w:type="dxa" w:w="8360"/>
            <w:tcBorders>
              <w:top w:val="single" w:color="CCCCCC" w:sz="1" w:space="0"/>
              <w:left w:val="single" w:color="CCCCCC" w:sz="1" w:space="0"/>
              <w:bottom w:val="single" w:color="CCCCCC" w:sz="1" w:space="0"/>
              <w:right w:val="single" w:color="CCCCCC" w:sz="1" w:space="0"/>
            </w:tcBorders>
            <w:tcMar>
              <w:top w:type="dxa" w:w="120"/>
              <w:left w:type="dxa" w:w="160"/>
              <w:bottom w:type="dxa" w:w="120"/>
              <w:right w:type="dxa" w:w="160"/>
            </w:tcMar>
          </w:tcPr>
          <w:p>
            <w:pPr>
              <w:spacing w:after="60" w:before="0"/>
            </w:pPr>
            <w:r>
              <w:rPr>
                <w:rFonts w:ascii="Arial" w:cs="Arial" w:eastAsia="Arial" w:hAnsi="Arial"/>
                <w:b/>
                <w:bCs/>
                <w:color w:val="1B7A3E"/>
                <w:sz w:val="22"/>
                <w:szCs w:val="22"/>
              </w:rPr>
              <w:t xml:space="preserve">Aplicar al SNIP:</w:t>
            </w:r>
          </w:p>
          <w:p>
            <w:pPr>
              <w:pStyle w:val="ListParagraph"/>
              <w:numPr>
                <w:ilvl w:val="0"/>
                <w:numId w:val="2"/>
              </w:numPr>
              <w:spacing w:after="40" w:before="40"/>
            </w:pPr>
            <w:r>
              <w:rPr>
                <w:rFonts w:ascii="Arial" w:cs="Arial" w:eastAsia="Arial" w:hAnsi="Arial"/>
                <w:sz w:val="22"/>
                <w:szCs w:val="22"/>
              </w:rPr>
              <w:t xml:space="preserve">Portal único del Estado con dominio institucional estable que no cambie con cada gobierno</w:t>
            </w:r>
          </w:p>
          <w:p>
            <w:pPr>
              <w:pStyle w:val="ListParagraph"/>
              <w:numPr>
                <w:ilvl w:val="0"/>
                <w:numId w:val="2"/>
              </w:numPr>
              <w:spacing w:after="40" w:before="40"/>
            </w:pPr>
            <w:r>
              <w:rPr>
                <w:rFonts w:ascii="Arial" w:cs="Arial" w:eastAsia="Arial" w:hAnsi="Arial"/>
                <w:sz w:val="22"/>
                <w:szCs w:val="22"/>
              </w:rPr>
              <w:t xml:space="preserve">Política de datos abiertos: el SNIP publica datasets de contratación, presupuesto y desempeño institucional en formatos reutilizables</w:t>
            </w:r>
          </w:p>
          <w:p>
            <w:pPr>
              <w:pStyle w:val="ListParagraph"/>
              <w:numPr>
                <w:ilvl w:val="0"/>
                <w:numId w:val="2"/>
              </w:numPr>
              <w:spacing w:after="0" w:before="40"/>
            </w:pPr>
            <w:r>
              <w:rPr>
                <w:rFonts w:ascii="Arial" w:cs="Arial" w:eastAsia="Arial" w:hAnsi="Arial"/>
                <w:sz w:val="22"/>
                <w:szCs w:val="22"/>
              </w:rPr>
              <w:t xml:space="preserve">Estrategia de despliegue gradual: primero los organismos con más usuarios, luego los más pequeños</w:t>
            </w:r>
          </w:p>
        </w:tc>
      </w:tr>
      <w:tr>
        <w:tc>
          <w:tcPr>
            <w:tcW w:type="dxa" w:w="1000"/>
            <w:tcBorders>
              <w:top w:val="single" w:color="FFFFFF" w:sz="0" w:space="0"/>
              <w:left w:val="single" w:color="FFFFFF" w:sz="0" w:space="0"/>
              <w:bottom w:val="single" w:color="FFFFFF" w:sz="0" w:space="0"/>
              <w:right w:val="single" w:color="FFFFFF" w:sz="0" w:space="0"/>
            </w:tcBorders>
            <w:shd w:fill="C0392B" w:val="clear"/>
            <w:tcMar>
              <w:top w:type="dxa" w:w="120"/>
              <w:left w:type="dxa" w:w="120"/>
              <w:bottom w:type="dxa" w:w="120"/>
              <w:right w:type="dxa" w:w="0"/>
            </w:tcMar>
          </w:tcPr>
          <w:p>
            <w:pPr>
              <w:spacing w:after="0" w:before="0"/>
              <w:jc w:val="center"/>
            </w:pPr>
            <w:r>
              <w:rPr>
                <w:rFonts w:ascii="Arial" w:cs="Arial" w:eastAsia="Arial" w:hAnsi="Arial"/>
                <w:sz w:val="32"/>
                <w:szCs w:val="32"/>
              </w:rPr>
              <w:t xml:space="preserve">🇰🇷</w:t>
            </w:r>
          </w:p>
          <w:p>
            <w:pPr>
              <w:spacing w:after="0" w:before="0"/>
              <w:jc w:val="center"/>
            </w:pPr>
            <w:r>
              <w:rPr>
                <w:rFonts w:ascii="Arial" w:cs="Arial" w:eastAsia="Arial" w:hAnsi="Arial"/>
                <w:b/>
                <w:bCs/>
                <w:color w:val="FFFFFF"/>
                <w:sz w:val="18"/>
                <w:szCs w:val="18"/>
              </w:rPr>
              <w:t xml:space="preserve">Corea</w:t>
            </w:r>
          </w:p>
        </w:tc>
        <w:tc>
          <w:tcPr>
            <w:tcW w:type="dxa" w:w="8360"/>
            <w:tcBorders>
              <w:top w:val="single" w:color="CCCCCC" w:sz="1" w:space="0"/>
              <w:left w:val="single" w:color="CCCCCC" w:sz="1" w:space="0"/>
              <w:bottom w:val="single" w:color="CCCCCC" w:sz="1" w:space="0"/>
              <w:right w:val="single" w:color="CCCCCC" w:sz="1" w:space="0"/>
            </w:tcBorders>
            <w:tcMar>
              <w:top w:type="dxa" w:w="120"/>
              <w:left w:type="dxa" w:w="160"/>
              <w:bottom w:type="dxa" w:w="120"/>
              <w:right w:type="dxa" w:w="160"/>
            </w:tcMar>
          </w:tcPr>
          <w:p>
            <w:pPr>
              <w:spacing w:after="60" w:before="0"/>
            </w:pPr>
            <w:r>
              <w:rPr>
                <w:rFonts w:ascii="Arial" w:cs="Arial" w:eastAsia="Arial" w:hAnsi="Arial"/>
                <w:b/>
                <w:bCs/>
                <w:color w:val="C0392B"/>
                <w:sz w:val="22"/>
                <w:szCs w:val="22"/>
              </w:rPr>
              <w:t xml:space="preserve">Aplicar al SNIP:</w:t>
            </w:r>
          </w:p>
          <w:p>
            <w:pPr>
              <w:pStyle w:val="ListParagraph"/>
              <w:numPr>
                <w:ilvl w:val="0"/>
                <w:numId w:val="2"/>
              </w:numPr>
              <w:spacing w:after="40" w:before="40"/>
            </w:pPr>
            <w:r>
              <w:rPr>
                <w:rFonts w:ascii="Arial" w:cs="Arial" w:eastAsia="Arial" w:hAnsi="Arial"/>
                <w:sz w:val="22"/>
                <w:szCs w:val="22"/>
              </w:rPr>
              <w:t xml:space="preserve">Módulo de seguimiento de trámites en tiempo real con nombre visible del funcionario responsable en cada etapa</w:t>
            </w:r>
          </w:p>
          <w:p>
            <w:pPr>
              <w:pStyle w:val="ListParagraph"/>
              <w:numPr>
                <w:ilvl w:val="0"/>
                <w:numId w:val="2"/>
              </w:numPr>
              <w:spacing w:after="40" w:before="40"/>
            </w:pPr>
            <w:r>
              <w:rPr>
                <w:rFonts w:ascii="Arial" w:cs="Arial" w:eastAsia="Arial" w:hAnsi="Arial"/>
                <w:sz w:val="22"/>
                <w:szCs w:val="22"/>
              </w:rPr>
              <w:t xml:space="preserve">Puntuación pública anual de integridad institucional por organismo (equivalente al KPAS de Corea)</w:t>
            </w:r>
          </w:p>
          <w:p>
            <w:pPr>
              <w:pStyle w:val="ListParagraph"/>
              <w:numPr>
                <w:ilvl w:val="0"/>
                <w:numId w:val="2"/>
              </w:numPr>
              <w:spacing w:after="0" w:before="40"/>
            </w:pPr>
            <w:r>
              <w:rPr>
                <w:rFonts w:ascii="Arial" w:cs="Arial" w:eastAsia="Arial" w:hAnsi="Arial"/>
                <w:sz w:val="22"/>
                <w:szCs w:val="22"/>
              </w:rPr>
              <w:t xml:space="preserve">Alertas automáticas cuando un trámite lleva más tiempo del plazo legal sin justificación registrada</w:t>
            </w:r>
          </w:p>
        </w:tc>
      </w:tr>
    </w:tbl>
    <w:p>
      <w:pPr>
        <w:spacing w:after="160" w:before="0"/>
      </w:pPr>
      <w:r>
        <w:rPr>
          <w:sz w:val="22"/>
          <w:szCs w:val="22"/>
        </w:rPr>
        <w:t xml:space="preserve"/>
      </w:r>
    </w:p>
    <w:p>
      <w:pPr>
        <w:pStyle w:val="Heading2"/>
        <w:pBdr>
          <w:bottom w:val="single" w:color="2E5FA3" w:sz="4" w:space="4"/>
        </w:pBdr>
        <w:spacing w:after="140" w:before="280"/>
      </w:pPr>
      <w:r>
        <w:rPr>
          <w:rFonts w:ascii="Arial" w:cs="Arial" w:eastAsia="Arial" w:hAnsi="Arial"/>
          <w:b/>
          <w:bCs/>
          <w:color w:val="2E5FA3"/>
          <w:sz w:val="28"/>
          <w:szCs w:val="28"/>
        </w:rPr>
        <w:t xml:space="preserve">Ventajas Únicas del SNIP Frente a los Modelos de Referencia</w:t>
      </w:r>
    </w:p>
    <w:p>
      <w:pPr>
        <w:spacing w:after="80" w:before="80"/>
      </w:pPr>
      <w:r>
        <w:rPr>
          <w:rFonts w:ascii="Arial" w:cs="Arial" w:eastAsia="Arial" w:hAnsi="Arial"/>
          <w:sz w:val="22"/>
          <w:szCs w:val="22"/>
        </w:rPr>
        <w:t xml:space="preserve">Los cuatro países de referencia construyeron sus sistemas antes de que existiera la inteligencia artificial aplicada a análisis jurídico. El SNIP tiene la ventaja de diseñarse en 2024-2025, cuando esa tecnología ya existe y es accesible.</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200"/>
        <w:gridCol w:w="1200"/>
        <w:gridCol w:w="1960"/>
      </w:tblGrid>
      <w:tr>
        <w:tc>
          <w:tcPr>
            <w:tcW w:type="dxa" w:w="28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CAPACIDAD</w:t>
            </w:r>
          </w:p>
        </w:tc>
        <w:tc>
          <w:tcPr>
            <w:tcW w:type="dxa" w:w="12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ESTONIA</w:t>
            </w:r>
          </w:p>
        </w:tc>
        <w:tc>
          <w:tcPr>
            <w:tcW w:type="dxa" w:w="10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CHILE</w:t>
            </w:r>
          </w:p>
        </w:tc>
        <w:tc>
          <w:tcPr>
            <w:tcW w:type="dxa" w:w="12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URUGUAY</w:t>
            </w:r>
          </w:p>
        </w:tc>
        <w:tc>
          <w:tcPr>
            <w:tcW w:type="dxa" w:w="12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COREA</w:t>
            </w:r>
          </w:p>
        </w:tc>
        <w:tc>
          <w:tcPr>
            <w:tcW w:type="dxa" w:w="196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SNIP ECUADOR</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Análisis jurídico automático (NLP)</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r>
      <w:tr>
        <w:tc>
          <w:tcPr>
            <w:tcW w:type="dxa" w:w="2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Detección de contradicciones en proyectos de ley</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0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9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Análisis de vulneración de derechos en normas</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r>
      <w:tr>
        <w:tc>
          <w:tcPr>
            <w:tcW w:type="dxa" w:w="2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Módulo financiero compatible con ISO 20022 desde el diseño base</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0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9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Alertas automáticas semanales al ciudadano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r>
      <w:tr>
        <w:tc>
          <w:tcPr>
            <w:tcW w:type="dxa" w:w="2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Módulo integrado de revocatoria de mandato</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0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No</w:t>
            </w:r>
          </w:p>
        </w:tc>
        <w:tc>
          <w:tcPr>
            <w:tcW w:type="dxa" w:w="19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Interoperabilidad total del Estado</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Meta Fase 2</w:t>
            </w:r>
          </w:p>
        </w:tc>
      </w:tr>
      <w:tr>
        <w:tc>
          <w:tcPr>
            <w:tcW w:type="dxa" w:w="2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Transparencia en contratación pública</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0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SÍ</w:t>
            </w:r>
          </w:p>
        </w:tc>
        <w:tc>
          <w:tcPr>
            <w:tcW w:type="dxa" w:w="12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Parcial</w:t>
            </w:r>
          </w:p>
        </w:tc>
        <w:tc>
          <w:tcPr>
            <w:tcW w:type="dxa" w:w="19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Meta Fase 2</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space="0"/>
              <w:left w:val="single" w:color="FFFFFF" w:sz="0" w:space="0"/>
              <w:bottom w:val="single" w:color="FFFFFF" w:sz="0" w:space="0"/>
              <w:right w:val="single" w:color="FFFFFF" w:sz="0" w:space="0"/>
            </w:tcBorders>
            <w:shd w:fill="1F3864" w:val="clear"/>
            <w:tcMar>
              <w:top w:type="dxa" w:w="140"/>
              <w:left w:type="dxa" w:w="220"/>
              <w:bottom w:type="dxa" w:w="140"/>
              <w:right w:type="dxa" w:w="220"/>
            </w:tcMar>
          </w:tcPr>
          <w:p>
            <w:pPr>
              <w:spacing w:after="0" w:before="0"/>
            </w:pPr>
            <w:r>
              <w:rPr>
                <w:rFonts w:ascii="Arial" w:cs="Arial" w:eastAsia="Arial" w:hAnsi="Arial"/>
                <w:b/>
                <w:bCs/>
                <w:color w:val="FFFFFF"/>
                <w:sz w:val="22"/>
                <w:szCs w:val="22"/>
              </w:rPr>
              <w:t xml:space="preserve">El SNIP no busca imitar ningún modelo existente. Busca combinar las mejores prácticas de los cuatro con las capacidades tecnológicas actuales que ninguno de ellos tuvo al diseñarse. Se construye sobre ISO 20022 — el estándar global vigente desde noviembre 2025 — como arquitectura base del módulo financiero, no como adición posterior.</w:t>
            </w:r>
          </w:p>
        </w:tc>
      </w:tr>
    </w:tbl>
    <w:p>
      <w:pPr>
        <w:spacing w:after="160" w:before="0"/>
      </w:pPr>
      <w:r>
        <w:rPr>
          <w:sz w:val="22"/>
          <w:szCs w:val="22"/>
        </w:rPr>
        <w:t xml:space="preserve"/>
      </w:r>
    </w:p>
    <w:p>
      <w:r>
        <w:br w:type="page"/>
      </w:r>
    </w:p>
    <w:p>
      <w:pPr>
        <w:pStyle w:val="Heading1"/>
        <w:spacing w:after="200" w:before="400"/>
      </w:pPr>
      <w:r>
        <w:rPr>
          <w:rFonts w:ascii="Arial" w:cs="Arial" w:eastAsia="Arial" w:hAnsi="Arial"/>
          <w:b/>
          <w:bCs/>
          <w:color w:val="1F3864"/>
          <w:sz w:val="38"/>
          <w:szCs w:val="38"/>
        </w:rPr>
        <w:t xml:space="preserve">ERRORES DOCUMENTADOS A EVITAR</w:t>
      </w:r>
    </w:p>
    <w:p>
      <w:pPr>
        <w:spacing w:after="160" w:before="0"/>
      </w:pPr>
      <w:r>
        <w:rPr>
          <w:sz w:val="22"/>
          <w:szCs w:val="22"/>
        </w:rPr>
        <w:t xml:space="preserve"/>
      </w:r>
    </w:p>
    <w:p>
      <w:pPr>
        <w:spacing w:after="80" w:before="80"/>
      </w:pPr>
      <w:r>
        <w:rPr>
          <w:rFonts w:ascii="Arial" w:cs="Arial" w:eastAsia="Arial" w:hAnsi="Arial"/>
          <w:sz w:val="22"/>
          <w:szCs w:val="22"/>
        </w:rPr>
        <w:t xml:space="preserve">Cada uno de estos países cometió errores en el proceso. Conocerlos con anticipación permite que Ecuador no repita los mismos.</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space="0"/>
              <w:left w:val="single" w:color="CCCCCC" w:sz="1" w:space="0"/>
              <w:bottom w:val="single" w:color="CCCCCC" w:sz="1" w:space="0"/>
              <w:right w:val="single" w:color="CCCCCC" w:sz="1" w:space="0"/>
            </w:tcBorders>
            <w:shd w:fill="991B1B" w:val="clear"/>
            <w:tcMar>
              <w:top w:type="dxa" w:w="90"/>
              <w:left w:type="dxa" w:w="140"/>
              <w:bottom w:type="dxa" w:w="90"/>
              <w:right w:type="dxa" w:w="140"/>
            </w:tcMar>
          </w:tcPr>
          <w:p>
            <w:pPr>
              <w:spacing w:after="0" w:before="0"/>
            </w:pPr>
            <w:r>
              <w:rPr>
                <w:rFonts w:ascii="Arial" w:cs="Arial" w:eastAsia="Arial" w:hAnsi="Arial"/>
                <w:b/>
                <w:bCs/>
                <w:color w:val="FFFFFF"/>
                <w:sz w:val="20"/>
                <w:szCs w:val="20"/>
              </w:rPr>
              <w:t xml:space="preserve">ERROR</w:t>
            </w:r>
          </w:p>
        </w:tc>
        <w:tc>
          <w:tcPr>
            <w:tcW w:type="dxa" w:w="6960"/>
            <w:tcBorders>
              <w:top w:val="single" w:color="CCCCCC" w:sz="1" w:space="0"/>
              <w:left w:val="single" w:color="CCCCCC" w:sz="1" w:space="0"/>
              <w:bottom w:val="single" w:color="CCCCCC" w:sz="1" w:space="0"/>
              <w:right w:val="single" w:color="CCCCCC" w:sz="1" w:space="0"/>
            </w:tcBorders>
            <w:shd w:fill="991B1B" w:val="clear"/>
            <w:tcMar>
              <w:top w:type="dxa" w:w="90"/>
              <w:left w:type="dxa" w:w="140"/>
              <w:bottom w:type="dxa" w:w="90"/>
              <w:right w:type="dxa" w:w="140"/>
            </w:tcMar>
          </w:tcPr>
          <w:p>
            <w:pPr>
              <w:spacing w:after="0" w:before="0"/>
            </w:pPr>
            <w:r>
              <w:rPr>
                <w:rFonts w:ascii="Arial" w:cs="Arial" w:eastAsia="Arial" w:hAnsi="Arial"/>
                <w:color w:val="FFFFFF"/>
                <w:sz w:val="20"/>
                <w:szCs w:val="20"/>
              </w:rPr>
              <w:t xml:space="preserve">PAÍS Y DESCRIPCIÓN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Digitalizar sin conectar</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Estonia tardó años en lograr interoperabilidad real. Muchas instituciones tenían sistemas digitales que no hablaban entre sí. El SNIP debe diseñarse para interoperabilidad desde el inicio, no como una capa encima de sistemas existentes.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Depender de un solo proveedor</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Corea del Sur tuvo dependencia excesiva de las chaebol (Samsung, LG) en tecnología estatal. Ecuador debe exigir arquitectura abierta y proveedores múltiples sin concentración.</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Lanzar sin educación ciudadana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Todos los países subestimaron el tiempo necesario para que los ciudadanos adoptaran los nuevos sistemas. El SNIP debe incluir campaña nacional de alfabetización digital desde la Fase 0.</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Confundir datos con acción</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Chile publicó miles de datos abiertos pero no siempre hubo organismos con capacidad de procesarlos y actuar. El SNIP debe vincular cada alerta a un protocolo de acción institucional claro.</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No blindar la independencia</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Los sistemas que más fallaron en control de corrupción son aquellos donde el gobierno de turno pudo designar a los responsables del sistema. El directorio autónomo del SNIP es una prioridad constitucional.</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Negligencia en ciberseguridad</w:t>
            </w:r>
          </w:p>
        </w:tc>
        <w:tc>
          <w:tcPr>
            <w:tcW w:type="dxa" w:w="6960"/>
            <w:tcBorders>
              <w:top w:val="single" w:color="CCCCCC" w:sz="1" w:space="0"/>
              <w:left w:val="single" w:color="CCCCCC" w:sz="1" w:space="0"/>
              <w:bottom w:val="single" w:color="CCCCCC" w:sz="1" w:space="0"/>
              <w:right w:val="single" w:color="CCCCCC" w:sz="1" w:space="0"/>
            </w:tcBorders>
            <w:shd w:fill="FFFFFF"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Estonia sufrió el mayor ataque cibernético de su historia en 2007, coordinado desde Rusia. Ecuador, con menor capacidad defensiva, debe invertir en ciberseguridad desde antes del lanzamiento, no después.</w:t>
            </w:r>
          </w:p>
        </w:tc>
      </w:tr>
      <w:tr>
        <w:tc>
          <w:tcPr>
            <w:tcW w:type="dxa" w:w="2400"/>
            <w:tcBorders>
              <w:top w:val="single" w:color="CCCCCC" w:sz="1" w:space="0"/>
              <w:left w:val="single" w:color="CCCCCC" w:sz="1" w:space="0"/>
              <w:bottom w:val="single" w:color="CCCCCC" w:sz="1" w:space="0"/>
              <w:right w:val="single" w:color="CCCCCC" w:sz="1" w:space="0"/>
            </w:tcBorders>
            <w:shd w:fill="D6E4F7" w:val="clear"/>
            <w:tcMar>
              <w:top w:type="dxa" w:w="90"/>
              <w:left w:type="dxa" w:w="140"/>
              <w:bottom w:type="dxa" w:w="90"/>
              <w:right w:type="dxa" w:w="140"/>
            </w:tcMar>
          </w:tcPr>
          <w:p>
            <w:pPr>
              <w:spacing w:after="0" w:before="0"/>
            </w:pPr>
            <w:r>
              <w:rPr>
                <w:rFonts w:ascii="Arial" w:cs="Arial" w:eastAsia="Arial" w:hAnsi="Arial"/>
                <w:b/>
                <w:bCs/>
                <w:color w:val="1F3864"/>
                <w:sz w:val="20"/>
                <w:szCs w:val="20"/>
              </w:rPr>
              <w:t xml:space="preserve">Cambios de sistema con cada gobierno</w:t>
            </w:r>
          </w:p>
        </w:tc>
        <w:tc>
          <w:tcPr>
            <w:tcW w:type="dxa" w:w="6960"/>
            <w:tcBorders>
              <w:top w:val="single" w:color="CCCCCC" w:sz="1" w:space="0"/>
              <w:left w:val="single" w:color="CCCCCC" w:sz="1" w:space="0"/>
              <w:bottom w:val="single" w:color="CCCCCC" w:sz="1" w:space="0"/>
              <w:right w:val="single" w:color="CCCCCC" w:sz="1" w:space="0"/>
            </w:tcBorders>
            <w:shd w:fill="F3F4F6" w:val="clear"/>
            <w:tcMar>
              <w:top w:type="dxa" w:w="90"/>
              <w:left w:type="dxa" w:w="140"/>
              <w:bottom w:type="dxa" w:w="90"/>
              <w:right w:type="dxa" w:w="140"/>
            </w:tcMar>
          </w:tcPr>
          <w:p>
            <w:pPr>
              <w:spacing w:after="0" w:before="0"/>
            </w:pPr>
            <w:r>
              <w:rPr>
                <w:rFonts w:ascii="Arial" w:cs="Arial" w:eastAsia="Arial" w:hAnsi="Arial"/>
                <w:color w:val="000000"/>
                <w:sz w:val="20"/>
                <w:szCs w:val="20"/>
              </w:rPr>
              <w:t xml:space="preserve">Uruguay tardó años en estabilizar el portal del Estado porque cada gobierno quería su propia plataforma. El dominio institucional y la plataforma base deben estar blindados constitucionalmente.</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space="0"/>
              <w:left w:val="none" w:color="FFFFFF" w:sz="0" w:space="0"/>
              <w:bottom w:val="none" w:color="FFFFFF" w:sz="0" w:space="0"/>
              <w:right w:val="none" w:color="FFFFFF" w:sz="0" w:space="0"/>
            </w:tcBorders>
            <w:shd w:fill="F8F8F8" w:val="clear"/>
            <w:tcMar>
              <w:top w:type="dxa" w:w="80"/>
              <w:left w:type="dxa" w:w="120"/>
              <w:bottom w:type="dxa" w:w="80"/>
              <w:right w:type="dxa" w:w="120"/>
            </w:tcMar>
          </w:tcPr>
          <w:p>
            <w:pPr>
              <w:spacing w:after="20" w:before="0"/>
            </w:pPr>
            <w:r>
              <w:rPr>
                <w:rFonts w:ascii="Arial" w:cs="Arial" w:eastAsia="Arial" w:hAnsi="Arial"/>
                <w:b/>
                <w:bCs/>
                <w:color w:val="888888"/>
                <w:sz w:val="16"/>
                <w:szCs w:val="16"/>
              </w:rPr>
              <w:t xml:space="preserve">FUENTES DE REFERENCIA</w:t>
            </w:r>
          </w:p>
          <w:p>
            <w:pPr>
              <w:spacing w:after="20" w:before="60"/>
            </w:pPr>
            <w:r>
              <w:rPr>
                <w:rFonts w:ascii="Arial" w:cs="Arial" w:eastAsia="Arial" w:hAnsi="Arial"/>
                <w:b/>
                <w:bCs/>
                <w:color w:val="555555"/>
                <w:sz w:val="16"/>
                <w:szCs w:val="16"/>
              </w:rPr>
              <w:t xml:space="preserve">[1] Ataque cibernético a Estonia 2007 — NATO CCDCOE: </w:t>
            </w:r>
            <w:r>
              <w:rPr>
                <w:rFonts w:ascii="Arial" w:cs="Arial" w:eastAsia="Arial" w:hAnsi="Arial"/>
                <w:color w:val="1155CC"/>
                <w:sz w:val="16"/>
                <w:szCs w:val="16"/>
              </w:rPr>
              <w:t xml:space="preserve">https://ccdcoe.org/uploads/2018/10/Ottis2008_AnalysisOf2007FromTheInformationWarfarePerspective.pdf</w:t>
            </w:r>
          </w:p>
          <w:p>
            <w:pPr>
              <w:spacing w:after="20" w:before="20"/>
            </w:pPr>
            <w:r>
              <w:rPr>
                <w:rFonts w:ascii="Arial" w:cs="Arial" w:eastAsia="Arial" w:hAnsi="Arial"/>
                <w:b/>
                <w:bCs/>
                <w:color w:val="555555"/>
                <w:sz w:val="16"/>
                <w:szCs w:val="16"/>
              </w:rPr>
              <w:t xml:space="preserve">[2] Caso escándalo presidenta Park Geun-hye — BBC: </w:t>
            </w:r>
            <w:r>
              <w:rPr>
                <w:rFonts w:ascii="Arial" w:cs="Arial" w:eastAsia="Arial" w:hAnsi="Arial"/>
                <w:color w:val="1155CC"/>
                <w:sz w:val="16"/>
                <w:szCs w:val="16"/>
              </w:rPr>
              <w:t xml:space="preserve">https://www.bbc.com/news/world-asia-37971085</w:t>
            </w:r>
          </w:p>
          <w:p>
            <w:pPr>
              <w:spacing w:after="20" w:before="20"/>
            </w:pPr>
            <w:r>
              <w:rPr>
                <w:rFonts w:ascii="Arial" w:cs="Arial" w:eastAsia="Arial" w:hAnsi="Arial"/>
                <w:b/>
                <w:bCs/>
                <w:color w:val="555555"/>
                <w:sz w:val="16"/>
                <w:szCs w:val="16"/>
              </w:rPr>
              <w:t xml:space="preserve">[3] BM — Lecciones de reformas anticorrupción en Asia: </w:t>
            </w:r>
            <w:r>
              <w:rPr>
                <w:rFonts w:ascii="Arial" w:cs="Arial" w:eastAsia="Arial" w:hAnsi="Arial"/>
                <w:color w:val="1155CC"/>
                <w:sz w:val="16"/>
                <w:szCs w:val="16"/>
              </w:rPr>
              <w:t xml:space="preserve">https://documents.worldbank.org/en/publication/documents-reports/documentdetail/099542406182227813</w:t>
            </w:r>
          </w:p>
          <w:p>
            <w:pPr>
              <w:spacing w:after="20" w:before="20"/>
            </w:pPr>
            <w:r>
              <w:rPr>
                <w:rFonts w:ascii="Arial" w:cs="Arial" w:eastAsia="Arial" w:hAnsi="Arial"/>
                <w:b/>
                <w:bCs/>
                <w:color w:val="555555"/>
                <w:sz w:val="16"/>
                <w:szCs w:val="16"/>
              </w:rPr>
              <w:t xml:space="preserve">[4] OCDE — Riesgos de captura institucional en gobierno digital: </w:t>
            </w:r>
            <w:r>
              <w:rPr>
                <w:rFonts w:ascii="Arial" w:cs="Arial" w:eastAsia="Arial" w:hAnsi="Arial"/>
                <w:color w:val="1155CC"/>
                <w:sz w:val="16"/>
                <w:szCs w:val="16"/>
              </w:rPr>
              <w:t xml:space="preserve">https://www.oecd.org/en/publications/oecd-integrity-review-of-mexico_9789264291652-en.html</w:t>
            </w:r>
          </w:p>
        </w:tc>
      </w:tr>
    </w:tbl>
    <w:p>
      <w:pPr>
        <w:spacing w:after="160" w:before="0"/>
      </w:pPr>
      <w:r>
        <w:rPr>
          <w:sz w:val="22"/>
          <w:szCs w:val="22"/>
        </w:rPr>
        <w:t xml:space="preserve"/>
      </w:r>
    </w:p>
    <w:p>
      <w:pPr>
        <w:pStyle w:val="Heading1"/>
        <w:spacing w:after="200" w:before="400"/>
      </w:pPr>
      <w:r>
        <w:rPr>
          <w:rFonts w:ascii="Arial" w:cs="Arial" w:eastAsia="Arial" w:hAnsi="Arial"/>
          <w:b/>
          <w:bCs/>
          <w:color w:val="1F3864"/>
          <w:sz w:val="38"/>
          <w:szCs w:val="38"/>
        </w:rPr>
        <w:t xml:space="preserve">CONCLUSIÓN ESTRATÉGICA</w:t>
      </w:r>
    </w:p>
    <w:p>
      <w:pPr>
        <w:spacing w:after="160" w:before="0"/>
      </w:pPr>
      <w:r>
        <w:rPr>
          <w:sz w:val="22"/>
          <w:szCs w:val="22"/>
        </w:rPr>
        <w:t xml:space="preserve"/>
      </w:r>
    </w:p>
    <w:p>
      <w:pPr>
        <w:spacing w:after="80" w:before="80"/>
      </w:pPr>
      <w:r>
        <w:rPr>
          <w:rFonts w:ascii="Arial" w:cs="Arial" w:eastAsia="Arial" w:hAnsi="Arial"/>
          <w:sz w:val="22"/>
          <w:szCs w:val="22"/>
        </w:rPr>
        <w:t xml:space="preserve">Los cuatro países analizados demuestran que la transformación institucional es posible incluso en contextos difíciles. Ninguno tenía condiciones perfectas al inicio. Todos comenzaron con problemas de corrupción, desconfianza ciudadana y burocracia heredada.</w:t>
      </w:r>
    </w:p>
    <w:p>
      <w:pPr>
        <w:spacing w:after="160" w:before="0"/>
      </w:pPr>
      <w:r>
        <w:rPr>
          <w:sz w:val="22"/>
          <w:szCs w:val="22"/>
        </w:rPr>
        <w:t xml:space="preserve"/>
      </w:r>
    </w:p>
    <w:p>
      <w:pPr>
        <w:spacing w:after="80" w:before="80"/>
      </w:pPr>
      <w:r>
        <w:rPr>
          <w:rFonts w:ascii="Arial" w:cs="Arial" w:eastAsia="Arial" w:hAnsi="Arial"/>
          <w:sz w:val="22"/>
          <w:szCs w:val="22"/>
        </w:rPr>
        <w:t xml:space="preserve">Lo que los distingue no es que tuvieran mejores personas gobernando. Es que construyeron mejores sistemas.</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space="0"/>
              <w:left w:val="single" w:color="FFFFFF" w:sz="0" w:space="0"/>
              <w:bottom w:val="single" w:color="FFFFFF" w:sz="0" w:space="0"/>
              <w:right w:val="single" w:color="FFFFFF" w:sz="0" w:space="0"/>
            </w:tcBorders>
            <w:shd w:fill="1F3864" w:val="clear"/>
            <w:tcMar>
              <w:top w:type="dxa" w:w="140"/>
              <w:left w:type="dxa" w:w="220"/>
              <w:bottom w:type="dxa" w:w="140"/>
              <w:right w:type="dxa" w:w="220"/>
            </w:tcMar>
          </w:tcPr>
          <w:p>
            <w:pPr>
              <w:spacing w:after="0" w:before="0"/>
            </w:pPr>
            <w:r>
              <w:rPr>
                <w:rFonts w:ascii="Arial" w:cs="Arial" w:eastAsia="Arial" w:hAnsi="Arial"/>
                <w:b/>
                <w:bCs/>
                <w:color w:val="FFFFFF"/>
                <w:sz w:val="22"/>
                <w:szCs w:val="22"/>
              </w:rPr>
              <w:t xml:space="preserve">Ecuador tiene hoy una ventaja que ninguno de estos países tuvo: puede diseñar un sistema con tecnología de 2025, aprendiendo de 25 años de errores y aciertos documentados en cuatro experiencias distintas. Ese es el punto de partida del SNIP.</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PAÍS</w:t>
            </w:r>
          </w:p>
        </w:tc>
        <w:tc>
          <w:tcPr>
            <w:tcW w:type="dxa" w:w="24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TIEMPO HASTA RESULTADOS VISIBLES</w:t>
            </w:r>
          </w:p>
        </w:tc>
        <w:tc>
          <w:tcPr>
            <w:tcW w:type="dxa" w:w="240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INVERSIÓN INICIAL APROXIMADA</w:t>
            </w:r>
          </w:p>
        </w:tc>
        <w:tc>
          <w:tcPr>
            <w:tcW w:type="dxa" w:w="2760"/>
            <w:tcBorders>
              <w:top w:val="single" w:color="CCCCCC" w:sz="1" w:space="0"/>
              <w:left w:val="single" w:color="CCCCCC" w:sz="1" w:space="0"/>
              <w:bottom w:val="single" w:color="CCCCCC" w:sz="1" w:space="0"/>
              <w:right w:val="single" w:color="CCCCCC" w:sz="1" w:space="0"/>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CAMBIO DE SCORE CPI EN 10 AÑOS</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Estonia</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3–5 años tras el inicio</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USD 50–100M (+ apoyo UE)</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De 57 a 76 (+19 puntos)</w:t>
            </w:r>
          </w:p>
        </w:tc>
      </w:tr>
      <w:tr>
        <w:tc>
          <w:tcPr>
            <w:tcW w:type="dxa" w:w="1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Chile</w:t>
            </w:r>
          </w:p>
        </w:tc>
        <w:tc>
          <w:tcPr>
            <w:tcW w:type="dxa" w:w="2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2–4 años en contratación pública</w:t>
            </w:r>
          </w:p>
        </w:tc>
        <w:tc>
          <w:tcPr>
            <w:tcW w:type="dxa" w:w="2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USD 20–40M</w:t>
            </w:r>
          </w:p>
        </w:tc>
        <w:tc>
          <w:tcPr>
            <w:tcW w:type="dxa" w:w="27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De 52 a 67 (+15 puntos)</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Uruguay</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4–6 años</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USD 30–60M</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De 58 a 73 (+15 puntos)</w:t>
            </w:r>
          </w:p>
        </w:tc>
      </w:tr>
      <w:tr>
        <w:tc>
          <w:tcPr>
            <w:tcW w:type="dxa" w:w="18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Corea del Sur</w:t>
            </w:r>
          </w:p>
        </w:tc>
        <w:tc>
          <w:tcPr>
            <w:tcW w:type="dxa" w:w="2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2–3 años en trámites municipales</w:t>
            </w:r>
          </w:p>
        </w:tc>
        <w:tc>
          <w:tcPr>
            <w:tcW w:type="dxa" w:w="240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USD 15–30M (solo OPEN)</w:t>
            </w:r>
          </w:p>
        </w:tc>
        <w:tc>
          <w:tcPr>
            <w:tcW w:type="dxa" w:w="2760"/>
            <w:tcBorders>
              <w:top w:val="single" w:color="CCCCCC" w:sz="1" w:space="0"/>
              <w:left w:val="single" w:color="CCCCCC" w:sz="1" w:space="0"/>
              <w:bottom w:val="single" w:color="CCCCCC" w:sz="1" w:space="0"/>
              <w:right w:val="single" w:color="CCCCCC" w:sz="1" w:space="0"/>
            </w:tcBorders>
            <w:shd w:fill="F3F4F6" w:val="clear"/>
            <w:tcMar>
              <w:top w:type="dxa" w:w="80"/>
              <w:left w:type="dxa" w:w="100"/>
              <w:bottom w:type="dxa" w:w="80"/>
              <w:right w:type="dxa" w:w="100"/>
            </w:tcMar>
          </w:tcPr>
          <w:p>
            <w:pPr>
              <w:spacing w:after="0" w:before="0"/>
            </w:pPr>
            <w:r>
              <w:rPr>
                <w:rFonts w:ascii="Arial" w:cs="Arial" w:eastAsia="Arial" w:hAnsi="Arial"/>
                <w:sz w:val="18"/>
                <w:szCs w:val="18"/>
              </w:rPr>
              <w:t xml:space="preserve">De 42 a 63 (+21 puntos)</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Ecuador — Meta SNIP</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5–8 años realistas</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USD 15–28M (Fases 0–5)</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Meta: de 34 a 50+ en 10 años</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space="0"/>
              <w:left w:val="single" w:color="FFFFFF" w:sz="0" w:space="0"/>
              <w:bottom w:val="single" w:color="FFFFFF" w:sz="0" w:space="0"/>
              <w:right w:val="single" w:color="FFFFFF" w:sz="0" w:space="0"/>
            </w:tcBorders>
            <w:shd w:fill="1F3864" w:val="clear"/>
            <w:tcMar>
              <w:top w:type="dxa" w:w="140"/>
              <w:left w:type="dxa" w:w="220"/>
              <w:bottom w:type="dxa" w:w="140"/>
              <w:right w:type="dxa" w:w="220"/>
            </w:tcMar>
          </w:tcPr>
          <w:p>
            <w:pPr>
              <w:spacing w:after="0" w:before="0"/>
            </w:pPr>
            <w:r>
              <w:rPr>
                <w:rFonts w:ascii="Arial" w:cs="Arial" w:eastAsia="Arial" w:hAnsi="Arial"/>
                <w:b/>
                <w:bCs/>
                <w:color w:val="FFFFFF"/>
                <w:sz w:val="22"/>
                <w:szCs w:val="22"/>
              </w:rPr>
              <w:t xml:space="preserve">La pregunta no es si Ecuador puede hacer esto. La pregunta es si tendrá la voluntad política sostenida para construirlo sin abandonarlo a mitad del camino. Esa voluntad empieza con opinión pública informada.</w:t>
            </w:r>
          </w:p>
        </w:tc>
      </w:tr>
    </w:tbl>
    <w:p>
      <w:pPr>
        <w:spacing w:after="160" w:before="0"/>
      </w:pPr>
      <w:r>
        <w:rPr>
          <w:sz w:val="22"/>
          <w:szCs w:val="22"/>
        </w:rPr>
        <w:t xml:space="preserve"/>
      </w:r>
    </w:p>
    <w:p>
      <w:pPr>
        <w:spacing w:after="0" w:before="200"/>
        <w:jc w:val="center"/>
      </w:pPr>
      <w:r>
        <w:rPr>
          <w:rFonts w:ascii="Arial" w:cs="Arial" w:eastAsia="Arial" w:hAnsi="Arial"/>
          <w:i/>
          <w:iCs/>
          <w:color w:val="888888"/>
          <w:sz w:val="20"/>
          <w:szCs w:val="20"/>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160"/>
      <w:jc w:val="right"/>
    </w:pPr>
    <w:r>
      <w:rPr>
        <w:rFonts w:ascii="Arial" w:cs="Arial" w:eastAsia="Arial" w:hAnsi="Arial"/>
        <w:color w:val="666666"/>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60" w:before="0"/>
    </w:pPr>
    <w:r>
      <w:rPr>
        <w:rFonts w:ascii="Arial" w:cs="Arial" w:eastAsia="Arial" w:hAnsi="Arial"/>
        <w:color w:val="666666"/>
        <w:sz w:val="18"/>
        <w:szCs w:val="18"/>
      </w:rPr>
      <w:t xml:space="preserve">SNIP — Análisis Comparado Internacional  |  Modelos de Referencia para Ecuador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4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2026-03-15T03:48:20.650Z</dcterms:created>
  <dcterms:modified xsi:type="dcterms:W3CDTF">2026-03-15T03:48:20.650Z</dcterms:modified>
</cp:coreProperties>
</file>

<file path=docProps/custom.xml><?xml version="1.0" encoding="utf-8"?>
<Properties xmlns="http://schemas.openxmlformats.org/officeDocument/2006/custom-properties" xmlns:vt="http://schemas.openxmlformats.org/officeDocument/2006/docPropsVTypes"/>
</file>