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Arial" w:cs="Arial" w:eastAsia="Arial" w:hAnsi="Arial"/>
          <w:b/>
          <w:bCs/>
          <w:color w:val="0D1F3C"/>
          <w:sz w:val="52"/>
          <w:szCs w:val="52"/>
        </w:rPr>
        <w:t xml:space="preserve">ARQUITECTURA LEGAL E INSTITUCIONAL</w:t>
      </w:r>
    </w:p>
    <w:p>
      <w:pPr>
        <w:spacing w:after="80" w:before="0"/>
        <w:jc w:val="center"/>
      </w:pPr>
      <w:r>
        <w:rPr>
          <w:rFonts w:ascii="Georgia" w:cs="Georgia" w:eastAsia="Georgia" w:hAnsi="Georgia"/>
          <w:i/>
          <w:iCs/>
          <w:color w:val="444444"/>
          <w:sz w:val="26"/>
          <w:szCs w:val="26"/>
        </w:rPr>
        <w:t xml:space="preserve">Modelos de Tolerancia Cero, Diseño de Reformas Legales</w:t>
      </w:r>
    </w:p>
    <w:p>
      <w:pPr>
        <w:spacing w:after="240" w:before="0"/>
        <w:jc w:val="center"/>
      </w:pPr>
      <w:r>
        <w:rPr>
          <w:rFonts w:ascii="Georgia" w:cs="Georgia" w:eastAsia="Georgia" w:hAnsi="Georgia"/>
          <w:i/>
          <w:iCs/>
          <w:color w:val="444444"/>
          <w:sz w:val="26"/>
          <w:szCs w:val="26"/>
        </w:rPr>
        <w:t xml:space="preserve">y Candados Constitucionales para el SNIP Ecuador</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220"/>
              <w:left w:type="dxa" w:w="400"/>
              <w:bottom w:type="dxa" w:w="220"/>
              <w:right w:type="dxa" w:w="400"/>
            </w:tcMar>
          </w:tcPr>
          <w:p>
            <w:pPr>
              <w:spacing w:after="100" w:before="0"/>
              <w:jc w:val="center"/>
            </w:pPr>
            <w:r>
              <w:rPr>
                <w:rFonts w:ascii="Arial" w:cs="Arial" w:eastAsia="Arial" w:hAnsi="Arial"/>
                <w:b/>
                <w:bCs/>
                <w:color w:val="FFFFFF"/>
                <w:sz w:val="24"/>
                <w:szCs w:val="24"/>
              </w:rPr>
              <w:t xml:space="preserve">🇸🇬  SINGAPUR   🇭🇰  HONG KONG   🇳🇿  NUEVA ZELANDA   🇩🇰  DINAMARCA</w:t>
            </w:r>
          </w:p>
          <w:p>
            <w:pPr>
              <w:spacing w:after="0" w:before="0"/>
              <w:jc w:val="center"/>
            </w:pPr>
            <w:r>
              <w:rPr>
                <w:rFonts w:ascii="Georgia" w:cs="Georgia" w:eastAsia="Georgia" w:hAnsi="Georgia"/>
                <w:i/>
                <w:iCs/>
                <w:color w:val="AABBD4"/>
                <w:sz w:val="19"/>
                <w:szCs w:val="19"/>
              </w:rPr>
              <w:t xml:space="preserve">Cuatro modelos institucionales que demuestran que la corrupción no desaparece por accidente</w:t>
            </w:r>
          </w:p>
        </w:tc>
      </w:tr>
    </w:tbl>
    <w:p>
      <w:pPr>
        <w:spacing w:after="120" w:before="0"/>
      </w:pPr>
      <w:r>
        <w:rPr>
          <w:sz w:val="20"/>
          <w:szCs w:val="20"/>
        </w:rPr>
        <w:t xml:space="preserve"/>
      </w:r>
    </w:p>
    <w:p>
      <w:pPr>
        <w:spacing w:after="0" w:before="0"/>
        <w:jc w:val="center"/>
      </w:pPr>
      <w:r>
        <w:rPr>
          <w:rFonts w:ascii="Arial" w:cs="Arial" w:eastAsia="Arial" w:hAnsi="Arial"/>
          <w:color w:val="888888"/>
          <w:sz w:val="18"/>
          <w:szCs w:val="18"/>
        </w:rPr>
        <w:t xml:space="preserve">Documento Complementario II — Sistema SNIP  |  República del Ecuador  |  2025</w:t>
      </w:r>
    </w:p>
    <w:p>
      <w:r>
        <w:br w:type="page"/>
      </w:r>
    </w:p>
    <w:p>
      <w:pPr>
        <w:pStyle w:val="Heading1"/>
        <w:spacing w:after="200" w:before="500"/>
      </w:pPr>
      <w:r>
        <w:rPr>
          <w:rFonts w:ascii="Arial" w:cs="Arial" w:eastAsia="Arial" w:hAnsi="Arial"/>
          <w:b/>
          <w:bCs/>
          <w:color w:val="0D1F3C"/>
          <w:sz w:val="40"/>
          <w:szCs w:val="40"/>
        </w:rPr>
        <w:t xml:space="preserve">INTRODUCCIÓN: EL PROBLEMA QUE LA TECNOLOGÍA SOLA NO RESUELVE</w:t>
      </w:r>
    </w:p>
    <w:p>
      <w:pPr>
        <w:spacing w:after="100" w:before="80"/>
      </w:pPr>
      <w:r>
        <w:rPr>
          <w:rFonts w:ascii="Georgia" w:cs="Georgia" w:eastAsia="Georgia" w:hAnsi="Georgia"/>
          <w:sz w:val="22"/>
          <w:szCs w:val="22"/>
        </w:rPr>
        <w:t xml:space="preserve">El primer documento de análisis comparado demostró cómo Estonia, Chile, Uruguay y Corea del Sur usaron la tecnología digital para hacer el Estado más transparente y dificultar la corrupción. Este segundo documento responde una pregunta diferente y más profunda:</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¿Qué pasa cuando la tecnología detecta corrupción pero las leyes y las instituciones no tienen la fortaleza para actuar?</w:t>
            </w:r>
          </w:p>
        </w:tc>
      </w:tr>
    </w:tbl>
    <w:p>
      <w:pPr>
        <w:spacing w:after="120" w:before="0"/>
      </w:pPr>
      <w:r>
        <w:rPr>
          <w:sz w:val="20"/>
          <w:szCs w:val="20"/>
        </w:rPr>
        <w:t xml:space="preserve"/>
      </w:r>
    </w:p>
    <w:p>
      <w:pPr>
        <w:spacing w:after="100" w:before="80"/>
      </w:pPr>
      <w:r>
        <w:rPr>
          <w:rFonts w:ascii="Georgia" w:cs="Georgia" w:eastAsia="Georgia" w:hAnsi="Georgia"/>
          <w:sz w:val="22"/>
          <w:szCs w:val="22"/>
        </w:rPr>
        <w:t xml:space="preserve">Los países con los mejores sistemas anticorrupción del mundo no son los que más invierten en tecnología. Son los que construyeron una arquitectura legal e institucional que hace que la corrupción sea técnicamente difícil, jurídicamente costosa y culturalmente rechazada. Eso es lo que estudia este documento.</w:t>
      </w:r>
    </w:p>
    <w:p>
      <w:pPr>
        <w:spacing w:after="100" w:before="80"/>
      </w:pPr>
      <w:r>
        <w:rPr>
          <w:rFonts w:ascii="Georgia" w:cs="Georgia" w:eastAsia="Georgia" w:hAnsi="Georgia"/>
          <w:sz w:val="22"/>
          <w:szCs w:val="22"/>
        </w:rPr>
        <w:t xml:space="preserve">Singapur, Hong Kong, Nueva Zelanda y Dinamarca representan cuatro variantes distintas de ese modelo. Ninguno es idéntico. Todos comparten algo fundamental: el sistema funciona independientemente de quién esté en el poder.</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000"/>
        <w:gridCol w:w="4000"/>
        <w:gridCol w:w="1860"/>
      </w:tblGrid>
      <w:tr>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PAÍS</w:t>
            </w:r>
          </w:p>
        </w:tc>
        <w:tc>
          <w:tcPr>
            <w:tcW w:type="dxa" w:w="11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SCORE CPI 2024</w:t>
            </w:r>
          </w:p>
        </w:tc>
        <w:tc>
          <w:tcPr>
            <w:tcW w:type="dxa" w:w="1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PUESTO GLOBAL</w:t>
            </w:r>
          </w:p>
        </w:tc>
        <w:tc>
          <w:tcPr>
            <w:tcW w:type="dxa" w:w="4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FORTALEZA CENTRAL</w:t>
            </w:r>
          </w:p>
        </w:tc>
        <w:tc>
          <w:tcPr>
            <w:tcW w:type="dxa" w:w="18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AÑO DEL CAMBIO DECISIVO</w:t>
            </w:r>
          </w:p>
        </w:tc>
      </w:tr>
      <w:tr>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 Dinamarca</w:t>
            </w:r>
          </w:p>
        </w:tc>
        <w:tc>
          <w:tcPr>
            <w:tcW w:type="dxa" w:w="11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90</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w:t>
            </w:r>
          </w:p>
        </w:tc>
        <w:tc>
          <w:tcPr>
            <w:tcW w:type="dxa" w:w="4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Cultura de confianza social + ética institucional</w:t>
            </w:r>
          </w:p>
        </w:tc>
        <w:tc>
          <w:tcPr>
            <w:tcW w:type="dxa" w:w="18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Reformas graduales 1960s–1980s</w:t>
            </w:r>
          </w:p>
        </w:tc>
      </w:tr>
      <w:tr>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 Nueva Zelanda</w:t>
            </w:r>
          </w:p>
        </w:tc>
        <w:tc>
          <w:tcPr>
            <w:tcW w:type="dxa" w:w="11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88</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w:t>
            </w:r>
          </w:p>
        </w:tc>
        <w:tc>
          <w:tcPr>
            <w:tcW w:type="dxa" w:w="4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Marco legal robusto + prensa independiente</w:t>
            </w:r>
          </w:p>
        </w:tc>
        <w:tc>
          <w:tcPr>
            <w:tcW w:type="dxa" w:w="18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State Sector Act 1988</w:t>
            </w:r>
          </w:p>
        </w:tc>
      </w:tr>
      <w:tr>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 Singapur</w:t>
            </w:r>
          </w:p>
        </w:tc>
        <w:tc>
          <w:tcPr>
            <w:tcW w:type="dxa" w:w="11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84</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w:t>
            </w:r>
          </w:p>
        </w:tc>
        <w:tc>
          <w:tcPr>
            <w:tcW w:type="dxa" w:w="4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Tolerancia cero desde el poder + CPIB autónomo</w:t>
            </w:r>
          </w:p>
        </w:tc>
        <w:tc>
          <w:tcPr>
            <w:tcW w:type="dxa" w:w="18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Prevention of Corruption Act 1960</w:t>
            </w:r>
          </w:p>
        </w:tc>
      </w:tr>
      <w:tr>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 Hong Kong</w:t>
            </w:r>
          </w:p>
        </w:tc>
        <w:tc>
          <w:tcPr>
            <w:tcW w:type="dxa" w:w="11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76</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14°</w:t>
            </w:r>
          </w:p>
        </w:tc>
        <w:tc>
          <w:tcPr>
            <w:tcW w:type="dxa" w:w="4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ICAC: organismo anticorrupción más copiado del mundo</w:t>
            </w:r>
          </w:p>
        </w:tc>
        <w:tc>
          <w:tcPr>
            <w:tcW w:type="dxa" w:w="18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Creación del ICAC 1974</w:t>
            </w:r>
          </w:p>
        </w:tc>
      </w:tr>
      <w:tr>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 Ecuador</w:t>
            </w:r>
          </w:p>
        </w:tc>
        <w:tc>
          <w:tcPr>
            <w:tcW w:type="dxa" w:w="11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32</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121°</w:t>
            </w:r>
          </w:p>
        </w:tc>
        <w:tc>
          <w:tcPr>
            <w:tcW w:type="dxa" w:w="4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Sistema SNIP en diseño — sin arquitectura legal robusta</w:t>
            </w:r>
          </w:p>
        </w:tc>
        <w:tc>
          <w:tcPr>
            <w:tcW w:type="dxa" w:w="18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Pendiente</w:t>
            </w:r>
          </w:p>
        </w:tc>
      </w:tr>
    </w:tbl>
    <w:p>
      <w:pPr>
        <w:spacing w:after="120" w:before="0"/>
      </w:pPr>
      <w:r>
        <w:rPr>
          <w:sz w:val="20"/>
          <w:szCs w:val="20"/>
        </w:rPr>
        <w:t xml:space="preserve"/>
      </w:r>
    </w:p>
    <w:p>
      <w:pPr>
        <w:spacing w:after="100" w:before="80"/>
      </w:pPr>
      <w:r>
        <w:rPr>
          <w:rFonts w:ascii="Georgia" w:cs="Georgia" w:eastAsia="Georgia" w:hAnsi="Georgia"/>
          <w:i/>
          <w:iCs/>
          <w:color w:val="444444"/>
          <w:sz w:val="22"/>
          <w:szCs w:val="22"/>
        </w:rPr>
        <w:t xml:space="preserve">La diferencia entre el puesto 1 y el puesto 121 no es cultural ni histórica. Es arquitectónica. Se construye deliberadamente.</w:t>
      </w:r>
    </w:p>
    <w:p>
      <w:pPr>
        <w:spacing w:after="120" w:before="0"/>
      </w:pPr>
      <w:r>
        <w:rPr>
          <w:sz w:val="20"/>
          <w:szCs w:val="20"/>
        </w:rPr>
        <w:t xml:space="preserve"/>
      </w:r>
    </w:p>
    <w:p>
      <w:pPr>
        <w:spacing w:after="12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space="0"/>
              <w:left w:val="none" w:color="FFFFFF" w:sz="0" w:space="0"/>
              <w:bottom w:val="none" w:color="FFFFFF" w:sz="0" w:space="0"/>
              <w:right w:val="none" w:color="FFFFFF" w:sz="0" w:space="0"/>
            </w:tcBorders>
            <w:shd w:fill="C8102E" w:val="clear"/>
            <w:tcMar>
              <w:top w:type="dxa" w:w="180"/>
              <w:left w:type="dxa" w:w="160"/>
              <w:bottom w:type="dxa" w:w="180"/>
              <w:right w:type="dxa" w:w="0"/>
            </w:tcMar>
          </w:tcPr>
          <w:p>
            <w:pPr>
              <w:spacing w:after="0" w:before="0"/>
              <w:jc w:val="center"/>
            </w:pPr>
            <w:r>
              <w:rPr>
                <w:rFonts w:ascii="Segoe UI Emoji" w:cs="Segoe UI Emoji" w:eastAsia="Segoe UI Emoji" w:hAnsi="Segoe UI Emoji"/>
                <w:sz w:val="48"/>
                <w:szCs w:val="48"/>
              </w:rPr>
              <w:t xml:space="preserve">🇸🇬</w:t>
            </w:r>
          </w:p>
        </w:tc>
        <w:tc>
          <w:tcPr>
            <w:tcW w:type="dxa" w:w="8460"/>
            <w:tcBorders>
              <w:top w:val="none" w:color="FFFFFF" w:sz="0" w:space="0"/>
              <w:left w:val="none" w:color="FFFFFF" w:sz="0" w:space="0"/>
              <w:bottom w:val="none" w:color="FFFFFF" w:sz="0" w:space="0"/>
              <w:right w:val="none" w:color="FFFFFF" w:sz="0" w:space="0"/>
            </w:tcBorders>
            <w:shd w:fill="C8102E" w:val="clear"/>
            <w:tcMar>
              <w:top w:type="dxa" w:w="160"/>
              <w:left w:type="dxa" w:w="240"/>
              <w:bottom w:type="dxa" w:w="160"/>
              <w:right w:type="dxa" w:w="240"/>
            </w:tcMar>
          </w:tcPr>
          <w:p>
            <w:pPr>
              <w:spacing w:after="30" w:before="0"/>
            </w:pPr>
            <w:r>
              <w:rPr>
                <w:rFonts w:ascii="Arial" w:cs="Arial" w:eastAsia="Arial" w:hAnsi="Arial"/>
                <w:b/>
                <w:bCs/>
                <w:color w:val="FFFFFF"/>
                <w:sz w:val="36"/>
                <w:szCs w:val="36"/>
              </w:rPr>
              <w:t xml:space="preserve">SINGAPUR — Tolerancia Cero Desde el Poder Mismo</w:t>
            </w:r>
          </w:p>
          <w:p>
            <w:pPr>
              <w:spacing w:after="0" w:before="0"/>
            </w:pPr>
            <w:r>
              <w:rPr>
                <w:rFonts w:ascii="Georgia" w:cs="Georgia" w:eastAsia="Georgia" w:hAnsi="Georgia"/>
                <w:i/>
                <w:iCs/>
                <w:color w:val="DDDDDD"/>
                <w:sz w:val="20"/>
                <w:szCs w:val="20"/>
              </w:rPr>
              <w:t xml:space="preserve">El único país donde el organismo anticorrupción puede investigar al Primer Ministro</w:t>
            </w:r>
          </w:p>
        </w:tc>
      </w:tr>
    </w:tbl>
    <w:p>
      <w:pPr>
        <w:spacing w:after="120" w:before="0"/>
      </w:pPr>
      <w:r>
        <w:rPr>
          <w:sz w:val="20"/>
          <w:szCs w:val="20"/>
        </w:rPr>
        <w:t xml:space="preserve"/>
      </w:r>
    </w:p>
    <w:p>
      <w:pPr>
        <w:pStyle w:val="Heading2"/>
        <w:pBdr>
          <w:bottom w:val="single" w:color="C8102E" w:sz="6" w:space="4"/>
        </w:pBdr>
        <w:spacing w:after="160" w:before="320"/>
      </w:pPr>
      <w:r>
        <w:rPr>
          <w:rFonts w:ascii="Arial" w:cs="Arial" w:eastAsia="Arial" w:hAnsi="Arial"/>
          <w:b/>
          <w:bCs/>
          <w:color w:val="C8102E"/>
          <w:sz w:val="28"/>
          <w:szCs w:val="28"/>
        </w:rPr>
        <w:t xml:space="preserve">De la Corrupción Total a la Transparencia Total en 30 Años</w:t>
      </w:r>
    </w:p>
    <w:p>
      <w:pPr>
        <w:spacing w:after="100" w:before="80"/>
      </w:pPr>
      <w:r>
        <w:rPr>
          <w:rFonts w:ascii="Georgia" w:cs="Georgia" w:eastAsia="Georgia" w:hAnsi="Georgia"/>
          <w:sz w:val="22"/>
          <w:szCs w:val="22"/>
        </w:rPr>
        <w:t xml:space="preserve">En 1959, cuando el Partido de Acción Popular asumió el gobierno de Singapur, el país era profundamente corrupto. La corrupción en la policía, los trámites municipales y los contratos públicos era tan normalizada que se consideraba parte del funcionamiento del sistema. Tenían un solo recurso: rehacerlo todo desde adentro.</w:t>
      </w:r>
    </w:p>
    <w:p>
      <w:pPr>
        <w:spacing w:after="100" w:before="80"/>
      </w:pPr>
      <w:r>
        <w:rPr>
          <w:rFonts w:ascii="Georgia" w:cs="Georgia" w:eastAsia="Georgia" w:hAnsi="Georgia"/>
          <w:sz w:val="22"/>
          <w:szCs w:val="22"/>
        </w:rPr>
        <w:t xml:space="preserve">El primer ministro Lee Kuan Yew tomó la decisión más difícil: comenzar por sus propios aliados políticos. Varios ministros y funcionarios de su propio partido fueron investigados y procesados. El mensaje fue inequívoco: nadie estaba por encima del sistema. Esa decisión política fue más poderosa que cualquier ley.</w:t>
      </w:r>
    </w:p>
    <w:p>
      <w:pPr>
        <w:spacing w:after="120" w:before="0"/>
      </w:pPr>
      <w:r>
        <w:rPr>
          <w:sz w:val="20"/>
          <w:szCs w:val="20"/>
        </w:rPr>
        <w:t xml:space="preserve"/>
      </w:r>
    </w:p>
    <w:p>
      <w:pPr>
        <w:pStyle w:val="Heading2"/>
        <w:pBdr>
          <w:bottom w:val="single" w:color="C8102E" w:sz="6" w:space="4"/>
        </w:pBdr>
        <w:spacing w:after="160" w:before="320"/>
      </w:pPr>
      <w:r>
        <w:rPr>
          <w:rFonts w:ascii="Arial" w:cs="Arial" w:eastAsia="Arial" w:hAnsi="Arial"/>
          <w:b/>
          <w:bCs/>
          <w:color w:val="C8102E"/>
          <w:sz w:val="28"/>
          <w:szCs w:val="28"/>
        </w:rPr>
        <w:t xml:space="preserve">El CPIB: El Organismo Que Puede Investigar a Quien Lo Creó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space="0"/>
              <w:left w:val="single" w:color="BBBBBB" w:sz="4" w:space="0"/>
              <w:bottom w:val="single" w:color="BBBBBB" w:sz="4" w:space="0"/>
              <w:right w:val="single" w:color="BBBBBB" w:sz="4" w:space="0"/>
            </w:tcBorders>
            <w:shd w:fill="C810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CATEGORÍA</w:t>
            </w:r>
          </w:p>
        </w:tc>
        <w:tc>
          <w:tcPr>
            <w:tcW w:type="dxa" w:w="6760"/>
            <w:tcBorders>
              <w:top w:val="single" w:color="BBBBBB" w:sz="4" w:space="0"/>
              <w:left w:val="single" w:color="BBBBBB" w:sz="4" w:space="0"/>
              <w:bottom w:val="single" w:color="BBBBBB" w:sz="4" w:space="0"/>
              <w:right w:val="single" w:color="BBBBBB" w:sz="4" w:space="0"/>
            </w:tcBorders>
            <w:shd w:fill="C8102E" w:val="clear"/>
            <w:tcMar>
              <w:top w:type="dxa" w:w="100"/>
              <w:left w:type="dxa" w:w="140"/>
              <w:bottom w:type="dxa" w:w="100"/>
              <w:right w:type="dxa" w:w="140"/>
            </w:tcMar>
          </w:tcPr>
          <w:p>
            <w:pPr>
              <w:spacing w:after="0" w:before="0"/>
            </w:pPr>
            <w:r>
              <w:rPr>
                <w:rFonts w:ascii="Georgia" w:cs="Georgia" w:eastAsia="Georgia" w:hAnsi="Georgia"/>
                <w:color w:val="FFFFFF"/>
                <w:sz w:val="20"/>
                <w:szCs w:val="20"/>
              </w:rPr>
              <w:t xml:space="preserve">DETALLE</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Nombre</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CPIB — Corrupt Practices Investigation Bureau (Oficina de Investigación de Prácticas Corruptas)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Año de creación</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1952 (reformado radicalmente en 1960)</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Dependencia</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Opera directamente bajo el control de la Oficina del Primer Ministro, NO bajo el Ministerio del Interior</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Facultad más poderosa</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Puede investigar al propio Primer Ministro con autorización del Presidente electo, creando un circuito de control cruzado que no depende de ningún poder único</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Poderes operativos</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pStyle w:val="ListParagraph"/>
              <w:numPr>
                <w:ilvl w:val="0"/>
                <w:numId w:val="2"/>
              </w:numPr>
              <w:spacing w:after="40" w:before="40"/>
            </w:pPr>
            <w:r>
              <w:rPr>
                <w:rFonts w:ascii="Georgia" w:cs="Georgia" w:eastAsia="Georgia" w:hAnsi="Georgia"/>
                <w:color w:val="111111"/>
                <w:sz w:val="20"/>
                <w:szCs w:val="20"/>
              </w:rPr>
              <w:t xml:space="preserve">Arresto sin orden judicial en casos de corrupción flagrante</w:t>
            </w:r>
          </w:p>
          <w:p>
            <w:pPr>
              <w:pStyle w:val="ListParagraph"/>
              <w:numPr>
                <w:ilvl w:val="0"/>
                <w:numId w:val="2"/>
              </w:numPr>
              <w:spacing w:after="40" w:before="40"/>
            </w:pPr>
            <w:r>
              <w:rPr>
                <w:rFonts w:ascii="Georgia" w:cs="Georgia" w:eastAsia="Georgia" w:hAnsi="Georgia"/>
                <w:color w:val="111111"/>
                <w:sz w:val="20"/>
                <w:szCs w:val="20"/>
              </w:rPr>
              <w:t xml:space="preserve">Acceso a cuentas bancarias, registros financieros y propiedades sin aprobación previa</w:t>
            </w:r>
          </w:p>
          <w:p>
            <w:pPr>
              <w:pStyle w:val="ListParagraph"/>
              <w:numPr>
                <w:ilvl w:val="0"/>
                <w:numId w:val="2"/>
              </w:numPr>
              <w:spacing w:after="40" w:before="40"/>
            </w:pPr>
            <w:r>
              <w:rPr>
                <w:rFonts w:ascii="Georgia" w:cs="Georgia" w:eastAsia="Georgia" w:hAnsi="Georgia"/>
                <w:color w:val="111111"/>
                <w:sz w:val="20"/>
                <w:szCs w:val="20"/>
              </w:rPr>
              <w:t xml:space="preserve">Investigación de familiares directos del investigado</w:t>
            </w:r>
          </w:p>
          <w:p>
            <w:pPr>
              <w:pStyle w:val="ListParagraph"/>
              <w:numPr>
                <w:ilvl w:val="0"/>
                <w:numId w:val="2"/>
              </w:numPr>
              <w:spacing w:after="40" w:before="40"/>
            </w:pPr>
            <w:r>
              <w:rPr>
                <w:rFonts w:ascii="Georgia" w:cs="Georgia" w:eastAsia="Georgia" w:hAnsi="Georgia"/>
                <w:color w:val="111111"/>
                <w:sz w:val="20"/>
                <w:szCs w:val="20"/>
              </w:rPr>
              <w:t xml:space="preserve">Confiscación de todos los bienes adquiridos con fondos corruptos, incluso si están a nombre de terceros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Principio rector</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La corrupción es una actividad de ALTO RIESGO y BAJA RECOMPENSA. La ley confisca no solo lo robado sino todos los bienes del condenado cuyo origen no pueda justificarse legalmente</w:t>
            </w:r>
          </w:p>
        </w:tc>
      </w:tr>
    </w:tbl>
    <w:p>
      <w:pPr>
        <w:spacing w:after="120" w:before="0"/>
      </w:pPr>
      <w:r>
        <w:rPr>
          <w:sz w:val="20"/>
          <w:szCs w:val="20"/>
        </w:rPr>
        <w:t xml:space="preserve"/>
      </w:r>
    </w:p>
    <w:p>
      <w:pPr>
        <w:pStyle w:val="Heading2"/>
        <w:pBdr>
          <w:bottom w:val="single" w:color="C8102E" w:sz="6" w:space="4"/>
        </w:pBdr>
        <w:spacing w:after="160" w:before="320"/>
      </w:pPr>
      <w:r>
        <w:rPr>
          <w:rFonts w:ascii="Arial" w:cs="Arial" w:eastAsia="Arial" w:hAnsi="Arial"/>
          <w:b/>
          <w:bCs/>
          <w:color w:val="C8102E"/>
          <w:sz w:val="28"/>
          <w:szCs w:val="28"/>
        </w:rPr>
        <w:t xml:space="preserve">La Prevention of Corruption Act: El Corazón Legal del Sistema</w:t>
      </w:r>
    </w:p>
    <w:p>
      <w:pPr>
        <w:spacing w:after="100" w:before="80"/>
      </w:pPr>
      <w:r>
        <w:rPr>
          <w:rFonts w:ascii="Georgia" w:cs="Georgia" w:eastAsia="Georgia" w:hAnsi="Georgia"/>
          <w:sz w:val="22"/>
          <w:szCs w:val="22"/>
        </w:rPr>
        <w:t xml:space="preserve">La ley anticorrupción de Singapur tiene un principio que la mayoría de países no tiene: la carga de la prueba puede invertirse. Si un funcionario vive por encima de su salario oficial y no puede demostrar el origen lícito de sus bienes, eso es evidencia de corrupción. No tienes que probar que robó. Él tiene que probar que no robó.</w:t>
      </w:r>
    </w:p>
    <w:p>
      <w:pPr>
        <w:pStyle w:val="ListParagraph"/>
        <w:numPr>
          <w:ilvl w:val="0"/>
          <w:numId w:val="2"/>
        </w:numPr>
        <w:spacing w:after="60" w:before="60"/>
      </w:pPr>
      <w:r>
        <w:rPr>
          <w:rFonts w:ascii="Georgia" w:cs="Georgia" w:eastAsia="Georgia" w:hAnsi="Georgia"/>
          <w:sz w:val="21"/>
          <w:szCs w:val="21"/>
        </w:rPr>
        <w:t xml:space="preserve">El soborno activo y pasivo tienen penas de hasta 7 años de prisión y multas de hasta 3 veces el valor del soborno</w:t>
      </w:r>
    </w:p>
    <w:p>
      <w:pPr>
        <w:pStyle w:val="ListParagraph"/>
        <w:numPr>
          <w:ilvl w:val="0"/>
          <w:numId w:val="2"/>
        </w:numPr>
        <w:spacing w:after="60" w:before="60"/>
      </w:pPr>
      <w:r>
        <w:rPr>
          <w:rFonts w:ascii="Georgia" w:cs="Georgia" w:eastAsia="Georgia" w:hAnsi="Georgia"/>
          <w:sz w:val="21"/>
          <w:szCs w:val="21"/>
        </w:rPr>
        <w:t xml:space="preserve">La confesión voluntaria antes de ser formalmente acusado reduce la pena, pero NO exime de la confiscación de bienes</w:t>
      </w:r>
    </w:p>
    <w:p>
      <w:pPr>
        <w:pStyle w:val="ListParagraph"/>
        <w:numPr>
          <w:ilvl w:val="0"/>
          <w:numId w:val="2"/>
        </w:numPr>
        <w:spacing w:after="60" w:before="60"/>
      </w:pPr>
      <w:r>
        <w:rPr>
          <w:rFonts w:ascii="Georgia" w:cs="Georgia" w:eastAsia="Georgia" w:hAnsi="Georgia"/>
          <w:sz w:val="21"/>
          <w:szCs w:val="21"/>
        </w:rPr>
        <w:t xml:space="preserve">Las empresas privadas que sobornan a funcionarios son penalmente responsables incluso si el ejecutivo que lo hizo ya no trabaja ahí</w:t>
      </w:r>
    </w:p>
    <w:p>
      <w:pPr>
        <w:pStyle w:val="ListParagraph"/>
        <w:numPr>
          <w:ilvl w:val="0"/>
          <w:numId w:val="2"/>
        </w:numPr>
        <w:spacing w:after="60" w:before="60"/>
      </w:pPr>
      <w:r>
        <w:rPr>
          <w:rFonts w:ascii="Georgia" w:cs="Georgia" w:eastAsia="Georgia" w:hAnsi="Georgia"/>
          <w:sz w:val="21"/>
          <w:szCs w:val="21"/>
        </w:rPr>
        <w:t xml:space="preserve">Los activos de familiares directos pueden ser investigados si existe indicios de transferencia de bienes</w:t>
      </w:r>
    </w:p>
    <w:p>
      <w:pPr>
        <w:spacing w:after="120" w:before="0"/>
      </w:pPr>
      <w:r>
        <w:rPr>
          <w:sz w:val="20"/>
          <w:szCs w:val="20"/>
        </w:rPr>
        <w:t xml:space="preserve"/>
      </w:r>
    </w:p>
    <w:p>
      <w:pPr>
        <w:pStyle w:val="Heading2"/>
        <w:pBdr>
          <w:bottom w:val="single" w:color="C8102E" w:sz="6" w:space="4"/>
        </w:pBdr>
        <w:spacing w:after="160" w:before="320"/>
      </w:pPr>
      <w:r>
        <w:rPr>
          <w:rFonts w:ascii="Arial" w:cs="Arial" w:eastAsia="Arial" w:hAnsi="Arial"/>
          <w:b/>
          <w:bCs/>
          <w:color w:val="C8102E"/>
          <w:sz w:val="28"/>
          <w:szCs w:val="28"/>
        </w:rPr>
        <w:t xml:space="preserve">Por Qué Funciona: Los Tres Principios de Singapur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C8102E"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PRINCIPIO 1 — VOLUNTAD POLÍTICA REAL: El sistema anticorrupción atacó primero a los más poderosos, no a los más débiles. Eso generó credibilidad irreversible.</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C8102E"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PRINCIPIO 2 — RIESGO MAYOR QUE BENEFICIO: La ley hace que el costo de corromperse sea siempre mayor que el beneficio. No solo cárcel: confiscación total, inhabilitación permanente y pérdida del estatus social.</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C8102E"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PRINCIPIO 3 — INDEPENDENCIA ESTRUCTURAL: El CPIB no depende de ningún ministerio con interés político en los casos. Responde al Presidente, no al gobierno de turno.</w:t>
            </w:r>
          </w:p>
        </w:tc>
      </w:tr>
    </w:tbl>
    <w:p>
      <w:pPr>
        <w:spacing w:after="120" w:before="0"/>
      </w:pPr>
      <w:r>
        <w:rPr>
          <w:sz w:val="20"/>
          <w:szCs w:val="20"/>
        </w:rPr>
        <w:t xml:space="preserve"/>
      </w:r>
    </w:p>
    <w:p>
      <w:pPr>
        <w:pStyle w:val="Heading2"/>
        <w:pBdr>
          <w:bottom w:val="single" w:color="C8102E" w:sz="6" w:space="4"/>
        </w:pBdr>
        <w:spacing w:after="160" w:before="320"/>
      </w:pPr>
      <w:r>
        <w:rPr>
          <w:rFonts w:ascii="Arial" w:cs="Arial" w:eastAsia="Arial" w:hAnsi="Arial"/>
          <w:b/>
          <w:bCs/>
          <w:color w:val="C8102E"/>
          <w:sz w:val="28"/>
          <w:szCs w:val="28"/>
        </w:rPr>
        <w:t xml:space="preserve">Cómo Singapur Mantuvo el Sistema con el Tiempo</w:t>
      </w:r>
    </w:p>
    <w:p>
      <w:pPr>
        <w:spacing w:after="100" w:before="80"/>
      </w:pPr>
      <w:r>
        <w:rPr>
          <w:rFonts w:ascii="Georgia" w:cs="Georgia" w:eastAsia="Georgia" w:hAnsi="Georgia"/>
          <w:sz w:val="22"/>
          <w:szCs w:val="22"/>
        </w:rPr>
        <w:t xml:space="preserve">El sistema de Singapur ha sobrevivido múltiples cambios de liderazgo porque está anclado en cuatro mecanismos de permanencia que van más allá de la voluntad de cualquier gobernante:</w:t>
      </w:r>
    </w:p>
    <w:p>
      <w:pPr>
        <w:pStyle w:val="ListParagraph"/>
        <w:numPr>
          <w:ilvl w:val="0"/>
          <w:numId w:val="2"/>
        </w:numPr>
        <w:spacing w:after="60" w:before="60"/>
      </w:pPr>
      <w:r>
        <w:rPr>
          <w:rFonts w:ascii="Georgia" w:cs="Georgia" w:eastAsia="Georgia" w:hAnsi="Georgia"/>
          <w:sz w:val="21"/>
          <w:szCs w:val="21"/>
        </w:rPr>
        <w:t xml:space="preserve">Los salarios de los funcionarios públicos son los más altos del mundo, eliminando la necesidad económica de corromperse</w:t>
      </w:r>
    </w:p>
    <w:p>
      <w:pPr>
        <w:pStyle w:val="ListParagraph"/>
        <w:numPr>
          <w:ilvl w:val="0"/>
          <w:numId w:val="2"/>
        </w:numPr>
        <w:spacing w:after="60" w:before="60"/>
      </w:pPr>
      <w:r>
        <w:rPr>
          <w:rFonts w:ascii="Georgia" w:cs="Georgia" w:eastAsia="Georgia" w:hAnsi="Georgia"/>
          <w:sz w:val="21"/>
          <w:szCs w:val="21"/>
        </w:rPr>
        <w:t xml:space="preserve">El presupuesto del CPIB está protegido constitucionalmente y no puede reducirse por decisión del gobierno de turno</w:t>
      </w:r>
    </w:p>
    <w:p>
      <w:pPr>
        <w:pStyle w:val="ListParagraph"/>
        <w:numPr>
          <w:ilvl w:val="0"/>
          <w:numId w:val="2"/>
        </w:numPr>
        <w:spacing w:after="60" w:before="60"/>
      </w:pPr>
      <w:r>
        <w:rPr>
          <w:rFonts w:ascii="Georgia" w:cs="Georgia" w:eastAsia="Georgia" w:hAnsi="Georgia"/>
          <w:sz w:val="21"/>
          <w:szCs w:val="21"/>
        </w:rPr>
        <w:t xml:space="preserve">Los directores del CPIB tienen mandatos fijos y solo pueden ser removidos por el Presidente con causa demostrada</w:t>
      </w:r>
    </w:p>
    <w:p>
      <w:pPr>
        <w:pStyle w:val="ListParagraph"/>
        <w:numPr>
          <w:ilvl w:val="0"/>
          <w:numId w:val="2"/>
        </w:numPr>
        <w:spacing w:after="60" w:before="60"/>
      </w:pPr>
      <w:r>
        <w:rPr>
          <w:rFonts w:ascii="Georgia" w:cs="Georgia" w:eastAsia="Georgia" w:hAnsi="Georgia"/>
          <w:sz w:val="21"/>
          <w:szCs w:val="21"/>
        </w:rPr>
        <w:t xml:space="preserve">La cultura de denuncia está institucionalizada: los ciudadanos reciben protección legal total si denuncian corrupción y tienen pruebas</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aps/>
                <w:color w:val="999999"/>
                <w:sz w:val="15"/>
                <w:szCs w:val="15"/>
              </w:rPr>
              <w:t xml:space="preserve">FUENTES DE REFERENCIA</w:t>
            </w:r>
          </w:p>
          <w:p>
            <w:pPr>
              <w:spacing w:after="10" w:before="10"/>
            </w:pPr>
            <w:r>
              <w:rPr>
                <w:rFonts w:ascii="Arial" w:cs="Arial" w:eastAsia="Arial" w:hAnsi="Arial"/>
                <w:b/>
                <w:bCs/>
                <w:color w:val="555555"/>
                <w:sz w:val="15"/>
                <w:szCs w:val="15"/>
              </w:rPr>
              <w:t xml:space="preserve">[1] CPIB — Sitio oficial del organismo anticorrupción de Singapur: </w:t>
            </w:r>
            <w:r>
              <w:rPr>
                <w:rFonts w:ascii="Arial" w:cs="Arial" w:eastAsia="Arial" w:hAnsi="Arial"/>
                <w:color w:val="1155CC"/>
                <w:sz w:val="15"/>
                <w:szCs w:val="15"/>
              </w:rPr>
              <w:t xml:space="preserve">https://www.cpib.gov.sg</w:t>
            </w:r>
          </w:p>
          <w:p>
            <w:pPr>
              <w:spacing w:after="10" w:before="10"/>
            </w:pPr>
            <w:r>
              <w:rPr>
                <w:rFonts w:ascii="Arial" w:cs="Arial" w:eastAsia="Arial" w:hAnsi="Arial"/>
                <w:b/>
                <w:bCs/>
                <w:color w:val="555555"/>
                <w:sz w:val="15"/>
                <w:szCs w:val="15"/>
              </w:rPr>
              <w:t xml:space="preserve">[2] Prevention of Corruption Act — Legislación de Singapur: </w:t>
            </w:r>
            <w:r>
              <w:rPr>
                <w:rFonts w:ascii="Arial" w:cs="Arial" w:eastAsia="Arial" w:hAnsi="Arial"/>
                <w:color w:val="1155CC"/>
                <w:sz w:val="15"/>
                <w:szCs w:val="15"/>
              </w:rPr>
              <w:t xml:space="preserve">https://sso.agc.gov.sg/Act/PCA1960</w:t>
            </w:r>
          </w:p>
          <w:p>
            <w:pPr>
              <w:spacing w:after="10" w:before="10"/>
            </w:pPr>
            <w:r>
              <w:rPr>
                <w:rFonts w:ascii="Arial" w:cs="Arial" w:eastAsia="Arial" w:hAnsi="Arial"/>
                <w:b/>
                <w:bCs/>
                <w:color w:val="555555"/>
                <w:sz w:val="15"/>
                <w:szCs w:val="15"/>
              </w:rPr>
              <w:t xml:space="preserve">[3] Singapur en Transparency International 2024: </w:t>
            </w:r>
            <w:r>
              <w:rPr>
                <w:rFonts w:ascii="Arial" w:cs="Arial" w:eastAsia="Arial" w:hAnsi="Arial"/>
                <w:color w:val="1155CC"/>
                <w:sz w:val="15"/>
                <w:szCs w:val="15"/>
              </w:rPr>
              <w:t xml:space="preserve">https://www.transparency.org/en/countries/singapore</w:t>
            </w:r>
          </w:p>
          <w:p>
            <w:pPr>
              <w:spacing w:after="10" w:before="10"/>
            </w:pPr>
            <w:r>
              <w:rPr>
                <w:rFonts w:ascii="Arial" w:cs="Arial" w:eastAsia="Arial" w:hAnsi="Arial"/>
                <w:b/>
                <w:bCs/>
                <w:color w:val="555555"/>
                <w:sz w:val="15"/>
                <w:szCs w:val="15"/>
              </w:rPr>
              <w:t xml:space="preserve">[4] GovTech Singapur — Gobierno digital: </w:t>
            </w:r>
            <w:r>
              <w:rPr>
                <w:rFonts w:ascii="Arial" w:cs="Arial" w:eastAsia="Arial" w:hAnsi="Arial"/>
                <w:color w:val="1155CC"/>
                <w:sz w:val="15"/>
                <w:szCs w:val="15"/>
              </w:rPr>
              <w:t xml:space="preserve">https://www.tech.gov.sg</w:t>
            </w:r>
          </w:p>
        </w:tc>
      </w:tr>
    </w:tbl>
    <w:p>
      <w:pPr>
        <w:spacing w:after="120" w:before="0"/>
      </w:pPr>
      <w:r>
        <w:rPr>
          <w:sz w:val="20"/>
          <w:szCs w:val="20"/>
        </w:rPr>
        <w:t xml:space="preserve"/>
      </w:r>
    </w:p>
    <w:p>
      <w:pPr>
        <w:spacing w:after="12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space="0"/>
              <w:left w:val="none" w:color="FFFFFF" w:sz="0" w:space="0"/>
              <w:bottom w:val="none" w:color="FFFFFF" w:sz="0" w:space="0"/>
              <w:right w:val="none" w:color="FFFFFF" w:sz="0" w:space="0"/>
            </w:tcBorders>
            <w:shd w:fill="DE2910" w:val="clear"/>
            <w:tcMar>
              <w:top w:type="dxa" w:w="180"/>
              <w:left w:type="dxa" w:w="160"/>
              <w:bottom w:type="dxa" w:w="180"/>
              <w:right w:type="dxa" w:w="0"/>
            </w:tcMar>
          </w:tcPr>
          <w:p>
            <w:pPr>
              <w:spacing w:after="0" w:before="0"/>
              <w:jc w:val="center"/>
            </w:pPr>
            <w:r>
              <w:rPr>
                <w:rFonts w:ascii="Segoe UI Emoji" w:cs="Segoe UI Emoji" w:eastAsia="Segoe UI Emoji" w:hAnsi="Segoe UI Emoji"/>
                <w:sz w:val="48"/>
                <w:szCs w:val="48"/>
              </w:rPr>
              <w:t xml:space="preserve">🇭🇰</w:t>
            </w:r>
          </w:p>
        </w:tc>
        <w:tc>
          <w:tcPr>
            <w:tcW w:type="dxa" w:w="8460"/>
            <w:tcBorders>
              <w:top w:val="none" w:color="FFFFFF" w:sz="0" w:space="0"/>
              <w:left w:val="none" w:color="FFFFFF" w:sz="0" w:space="0"/>
              <w:bottom w:val="none" w:color="FFFFFF" w:sz="0" w:space="0"/>
              <w:right w:val="none" w:color="FFFFFF" w:sz="0" w:space="0"/>
            </w:tcBorders>
            <w:shd w:fill="DE2910" w:val="clear"/>
            <w:tcMar>
              <w:top w:type="dxa" w:w="160"/>
              <w:left w:type="dxa" w:w="240"/>
              <w:bottom w:type="dxa" w:w="160"/>
              <w:right w:type="dxa" w:w="240"/>
            </w:tcMar>
          </w:tcPr>
          <w:p>
            <w:pPr>
              <w:spacing w:after="30" w:before="0"/>
            </w:pPr>
            <w:r>
              <w:rPr>
                <w:rFonts w:ascii="Arial" w:cs="Arial" w:eastAsia="Arial" w:hAnsi="Arial"/>
                <w:b/>
                <w:bCs/>
                <w:color w:val="FFFFFF"/>
                <w:sz w:val="36"/>
                <w:szCs w:val="36"/>
              </w:rPr>
              <w:t xml:space="preserve">HONG KONG — El ICAC: El Modelo Anticorrupción Más Copiado del Mundo</w:t>
            </w:r>
          </w:p>
          <w:p>
            <w:pPr>
              <w:spacing w:after="0" w:before="0"/>
            </w:pPr>
            <w:r>
              <w:rPr>
                <w:rFonts w:ascii="Georgia" w:cs="Georgia" w:eastAsia="Georgia" w:hAnsi="Georgia"/>
                <w:i/>
                <w:iCs/>
                <w:color w:val="DDDDDD"/>
                <w:sz w:val="20"/>
                <w:szCs w:val="20"/>
              </w:rPr>
              <w:t xml:space="preserve">De la ciudad más corrupta de Asia a referente global de integridad en menos de 20 años</w:t>
            </w:r>
          </w:p>
        </w:tc>
      </w:tr>
    </w:tbl>
    <w:p>
      <w:pPr>
        <w:spacing w:after="120" w:before="0"/>
      </w:pPr>
      <w:r>
        <w:rPr>
          <w:sz w:val="20"/>
          <w:szCs w:val="20"/>
        </w:rPr>
        <w:t xml:space="preserve"/>
      </w:r>
    </w:p>
    <w:p>
      <w:pPr>
        <w:pStyle w:val="Heading2"/>
        <w:pBdr>
          <w:bottom w:val="single" w:color="DE2910" w:sz="6" w:space="4"/>
        </w:pBdr>
        <w:spacing w:after="160" w:before="320"/>
      </w:pPr>
      <w:r>
        <w:rPr>
          <w:rFonts w:ascii="Arial" w:cs="Arial" w:eastAsia="Arial" w:hAnsi="Arial"/>
          <w:b/>
          <w:bCs/>
          <w:color w:val="DE2910"/>
          <w:sz w:val="28"/>
          <w:szCs w:val="28"/>
        </w:rPr>
        <w:t xml:space="preserve">El Punto de Quiebre: 1973</w:t>
      </w:r>
    </w:p>
    <w:p>
      <w:pPr>
        <w:spacing w:after="100" w:before="80"/>
      </w:pPr>
      <w:r>
        <w:rPr>
          <w:rFonts w:ascii="Georgia" w:cs="Georgia" w:eastAsia="Georgia" w:hAnsi="Georgia"/>
          <w:sz w:val="22"/>
          <w:szCs w:val="22"/>
        </w:rPr>
        <w:t xml:space="preserve">En 1973, Hong Kong era una ciudad completamente capturada por la corrupción. La policía operaba con tarifas conocidas públicamente: un soborno para que no te multen, otro para que no te arresten, otro para que investiguen el crimen del que eres víctima. Era un sistema paralelo funcionando abiertamente dentro del Estado.</w:t>
      </w:r>
    </w:p>
    <w:p>
      <w:pPr>
        <w:spacing w:after="100" w:before="80"/>
      </w:pPr>
      <w:r>
        <w:rPr>
          <w:rFonts w:ascii="Georgia" w:cs="Georgia" w:eastAsia="Georgia" w:hAnsi="Georgia"/>
          <w:sz w:val="22"/>
          <w:szCs w:val="22"/>
        </w:rPr>
        <w:t xml:space="preserve">Ese año, el comisario de policía más corrupto del territorio huyó a Inglaterra para evadir una investigación. El escándalo fue tan grande que el gobernador colonial Murray MacLehose tomó la decisión radical: crear un organismo completamente separado de la policía para investigar la corrupción. Ese organismo fue el ICAC.</w:t>
      </w:r>
    </w:p>
    <w:p>
      <w:pPr>
        <w:spacing w:after="120" w:before="0"/>
      </w:pPr>
      <w:r>
        <w:rPr>
          <w:sz w:val="20"/>
          <w:szCs w:val="20"/>
        </w:rPr>
        <w:t xml:space="preserve"/>
      </w:r>
    </w:p>
    <w:p>
      <w:pPr>
        <w:pStyle w:val="Heading2"/>
        <w:pBdr>
          <w:bottom w:val="single" w:color="DE2910" w:sz="6" w:space="4"/>
        </w:pBdr>
        <w:spacing w:after="160" w:before="320"/>
      </w:pPr>
      <w:r>
        <w:rPr>
          <w:rFonts w:ascii="Arial" w:cs="Arial" w:eastAsia="Arial" w:hAnsi="Arial"/>
          <w:b/>
          <w:bCs/>
          <w:color w:val="DE2910"/>
          <w:sz w:val="28"/>
          <w:szCs w:val="28"/>
        </w:rPr>
        <w:t xml:space="preserve">El ICAC: Diseño Institucional Anti-Captura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space="0"/>
              <w:left w:val="single" w:color="BBBBBB" w:sz="4" w:space="0"/>
              <w:bottom w:val="single" w:color="BBBBBB" w:sz="4" w:space="0"/>
              <w:right w:val="single" w:color="BBBBBB" w:sz="4" w:space="0"/>
            </w:tcBorders>
            <w:shd w:fill="DE291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CATEGORÍA</w:t>
            </w:r>
          </w:p>
        </w:tc>
        <w:tc>
          <w:tcPr>
            <w:tcW w:type="dxa" w:w="6760"/>
            <w:tcBorders>
              <w:top w:val="single" w:color="BBBBBB" w:sz="4" w:space="0"/>
              <w:left w:val="single" w:color="BBBBBB" w:sz="4" w:space="0"/>
              <w:bottom w:val="single" w:color="BBBBBB" w:sz="4" w:space="0"/>
              <w:right w:val="single" w:color="BBBBBB" w:sz="4" w:space="0"/>
            </w:tcBorders>
            <w:shd w:fill="DE2910" w:val="clear"/>
            <w:tcMar>
              <w:top w:type="dxa" w:w="100"/>
              <w:left w:type="dxa" w:w="140"/>
              <w:bottom w:type="dxa" w:w="100"/>
              <w:right w:type="dxa" w:w="140"/>
            </w:tcMar>
          </w:tcPr>
          <w:p>
            <w:pPr>
              <w:spacing w:after="0" w:before="0"/>
            </w:pPr>
            <w:r>
              <w:rPr>
                <w:rFonts w:ascii="Georgia" w:cs="Georgia" w:eastAsia="Georgia" w:hAnsi="Georgia"/>
                <w:color w:val="FFFFFF"/>
                <w:sz w:val="20"/>
                <w:szCs w:val="20"/>
              </w:rPr>
              <w:t xml:space="preserve">DETALLE</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Nombre</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ICAC — Independent Commission Against Corruption</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Año de creación</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1974</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Separación estructural</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Completamente separado de la policía, los ministerios y el sistema judicial ordinario. El comisionado responde directamente al Jefe Ejecutivo del territorio</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Tres departamentos</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pStyle w:val="ListParagraph"/>
              <w:numPr>
                <w:ilvl w:val="0"/>
                <w:numId w:val="2"/>
              </w:numPr>
              <w:spacing w:after="40" w:before="40"/>
            </w:pPr>
            <w:r>
              <w:rPr>
                <w:rFonts w:ascii="Georgia" w:cs="Georgia" w:eastAsia="Georgia" w:hAnsi="Georgia"/>
                <w:color w:val="111111"/>
                <w:sz w:val="20"/>
                <w:szCs w:val="20"/>
              </w:rPr>
              <w:t xml:space="preserve">Operaciones: investigación activa de casos</w:t>
            </w:r>
          </w:p>
          <w:p>
            <w:pPr>
              <w:pStyle w:val="ListParagraph"/>
              <w:numPr>
                <w:ilvl w:val="0"/>
                <w:numId w:val="2"/>
              </w:numPr>
              <w:spacing w:after="40" w:before="40"/>
            </w:pPr>
            <w:r>
              <w:rPr>
                <w:rFonts w:ascii="Georgia" w:cs="Georgia" w:eastAsia="Georgia" w:hAnsi="Georgia"/>
                <w:color w:val="111111"/>
                <w:sz w:val="20"/>
                <w:szCs w:val="20"/>
              </w:rPr>
              <w:t xml:space="preserve">Prevención: auditoría de sistemas institucionales para detectar puntos de riesgo antes de que ocurra la corrupción</w:t>
            </w:r>
          </w:p>
          <w:p>
            <w:pPr>
              <w:pStyle w:val="ListParagraph"/>
              <w:numPr>
                <w:ilvl w:val="0"/>
                <w:numId w:val="2"/>
              </w:numPr>
              <w:spacing w:after="40" w:before="40"/>
            </w:pPr>
            <w:r>
              <w:rPr>
                <w:rFonts w:ascii="Georgia" w:cs="Georgia" w:eastAsia="Georgia" w:hAnsi="Georgia"/>
                <w:color w:val="111111"/>
                <w:sz w:val="20"/>
                <w:szCs w:val="20"/>
              </w:rPr>
              <w:t xml:space="preserve">Relaciones Comunitarias: educación ciudadana masiva en integridad institucional</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Rendición de cuentas</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Cuatro comités consultivos independientes de ciudadanos supervisan cada departamento. El ICAC es controlado por ciudadanos, no por políticos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Modelo exportado</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El diseño del ICAC fue copiado total o parcialmente en más de 40 países y territorios, incluyendo Nueva Gales del Sur (Australia), Mauricio, Botsuana y varios países de Asia</w:t>
            </w:r>
          </w:p>
        </w:tc>
      </w:tr>
    </w:tbl>
    <w:p>
      <w:pPr>
        <w:spacing w:after="120" w:before="0"/>
      </w:pPr>
      <w:r>
        <w:rPr>
          <w:sz w:val="20"/>
          <w:szCs w:val="20"/>
        </w:rPr>
        <w:t xml:space="preserve"/>
      </w:r>
    </w:p>
    <w:p>
      <w:pPr>
        <w:pStyle w:val="Heading2"/>
        <w:pBdr>
          <w:bottom w:val="single" w:color="DE2910" w:sz="6" w:space="4"/>
        </w:pBdr>
        <w:spacing w:after="160" w:before="320"/>
      </w:pPr>
      <w:r>
        <w:rPr>
          <w:rFonts w:ascii="Arial" w:cs="Arial" w:eastAsia="Arial" w:hAnsi="Arial"/>
          <w:b/>
          <w:bCs/>
          <w:color w:val="DE2910"/>
          <w:sz w:val="28"/>
          <w:szCs w:val="28"/>
        </w:rPr>
        <w:t xml:space="preserve">El Principio de los Tres Pilares</w:t>
      </w:r>
    </w:p>
    <w:p>
      <w:pPr>
        <w:spacing w:after="100" w:before="80"/>
      </w:pPr>
      <w:r>
        <w:rPr>
          <w:rFonts w:ascii="Georgia" w:cs="Georgia" w:eastAsia="Georgia" w:hAnsi="Georgia"/>
          <w:sz w:val="22"/>
          <w:szCs w:val="22"/>
        </w:rPr>
        <w:t xml:space="preserve">El modelo del ICAC descansa en una hipótesis que la mayoría de organismos anticorrupción ignora: no basta con castigar la corrupción cuando ya ocurrió. Hay que hacer que ocurra menos. Y hay que cambiar la cultura para que la ciudadanía la rechace activamente.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BBBBB" w:sz="4" w:space="0"/>
              <w:left w:val="single" w:color="BBBBBB" w:sz="4" w:space="0"/>
              <w:bottom w:val="single" w:color="BBBBBB" w:sz="4" w:space="0"/>
              <w:right w:val="single" w:color="BBBBBB" w:sz="4" w:space="0"/>
            </w:tcBorders>
            <w:shd w:fill="DE2910" w:val="clear"/>
            <w:tcMar>
              <w:top w:type="dxa" w:w="120"/>
              <w:left w:type="dxa" w:w="120"/>
              <w:bottom w:type="dxa" w:w="120"/>
              <w:right w:type="dxa" w:w="120"/>
            </w:tcMar>
          </w:tcPr>
          <w:p>
            <w:pPr>
              <w:spacing w:after="40" w:before="0"/>
              <w:jc w:val="center"/>
            </w:pPr>
            <w:r>
              <w:rPr>
                <w:rFonts w:ascii="Arial" w:cs="Arial" w:eastAsia="Arial" w:hAnsi="Arial"/>
                <w:b/>
                <w:bCs/>
                <w:color w:val="FFFFFF"/>
                <w:sz w:val="22"/>
                <w:szCs w:val="22"/>
              </w:rPr>
              <w:t xml:space="preserve">PILAR 1</w:t>
            </w:r>
          </w:p>
          <w:p>
            <w:pPr>
              <w:spacing w:after="60" w:before="0"/>
              <w:jc w:val="center"/>
            </w:pPr>
            <w:r>
              <w:rPr>
                <w:rFonts w:ascii="Arial" w:cs="Arial" w:eastAsia="Arial" w:hAnsi="Arial"/>
                <w:b/>
                <w:bCs/>
                <w:color w:val="FFFFFF"/>
                <w:sz w:val="24"/>
                <w:szCs w:val="24"/>
              </w:rPr>
              <w:t xml:space="preserve">DETECCIÓN</w:t>
            </w:r>
          </w:p>
          <w:p>
            <w:pPr>
              <w:spacing w:after="0" w:before="0"/>
              <w:jc w:val="center"/>
            </w:pPr>
            <w:r>
              <w:rPr>
                <w:rFonts w:ascii="Georgia" w:cs="Georgia" w:eastAsia="Georgia" w:hAnsi="Georgia"/>
                <w:i/>
                <w:iCs/>
                <w:color w:val="FFCCCC"/>
                <w:sz w:val="19"/>
                <w:szCs w:val="19"/>
              </w:rPr>
              <w:t xml:space="preserve">Investigar y procesar todos los casos sin excepción de rango ni estatus</w:t>
            </w:r>
          </w:p>
        </w:tc>
        <w:tc>
          <w:tcPr>
            <w:tcBorders>
              <w:top w:val="single" w:color="BBBBBB" w:sz="4" w:space="0"/>
              <w:left w:val="single" w:color="BBBBBB" w:sz="4" w:space="0"/>
              <w:bottom w:val="single" w:color="BBBBBB" w:sz="4" w:space="0"/>
              <w:right w:val="single" w:color="BBBBBB" w:sz="4" w:space="0"/>
            </w:tcBorders>
            <w:shd w:fill="0D1F3C" w:val="clear"/>
            <w:tcMar>
              <w:top w:type="dxa" w:w="120"/>
              <w:left w:type="dxa" w:w="120"/>
              <w:bottom w:type="dxa" w:w="120"/>
              <w:right w:type="dxa" w:w="120"/>
            </w:tcMar>
          </w:tcPr>
          <w:p>
            <w:pPr>
              <w:spacing w:after="40" w:before="0"/>
              <w:jc w:val="center"/>
            </w:pPr>
            <w:r>
              <w:rPr>
                <w:rFonts w:ascii="Arial" w:cs="Arial" w:eastAsia="Arial" w:hAnsi="Arial"/>
                <w:b/>
                <w:bCs/>
                <w:color w:val="FFFFFF"/>
                <w:sz w:val="22"/>
                <w:szCs w:val="22"/>
              </w:rPr>
              <w:t xml:space="preserve">PILAR 2</w:t>
            </w:r>
          </w:p>
          <w:p>
            <w:pPr>
              <w:spacing w:after="60" w:before="0"/>
              <w:jc w:val="center"/>
            </w:pPr>
            <w:r>
              <w:rPr>
                <w:rFonts w:ascii="Arial" w:cs="Arial" w:eastAsia="Arial" w:hAnsi="Arial"/>
                <w:b/>
                <w:bCs/>
                <w:color w:val="FFFFFF"/>
                <w:sz w:val="24"/>
                <w:szCs w:val="24"/>
              </w:rPr>
              <w:t xml:space="preserve">PREVENCIÓN</w:t>
            </w:r>
          </w:p>
          <w:p>
            <w:pPr>
              <w:spacing w:after="0" w:before="0"/>
              <w:jc w:val="center"/>
            </w:pPr>
            <w:r>
              <w:rPr>
                <w:rFonts w:ascii="Georgia" w:cs="Georgia" w:eastAsia="Georgia" w:hAnsi="Georgia"/>
                <w:i/>
                <w:iCs/>
                <w:color w:val="AABBD4"/>
                <w:sz w:val="19"/>
                <w:szCs w:val="19"/>
              </w:rPr>
              <w:t xml:space="preserve">Auditar sistemas institucionales para eliminar puntos ciegos antes de que sean explotados</w:t>
            </w:r>
          </w:p>
        </w:tc>
        <w:tc>
          <w:tcPr>
            <w:tcBorders>
              <w:top w:val="single" w:color="BBBBBB" w:sz="4" w:space="0"/>
              <w:left w:val="single" w:color="BBBBBB" w:sz="4" w:space="0"/>
              <w:bottom w:val="single" w:color="BBBBBB" w:sz="4" w:space="0"/>
              <w:right w:val="single" w:color="BBBBBB" w:sz="4" w:space="0"/>
            </w:tcBorders>
            <w:shd w:fill="1A5C2E" w:val="clear"/>
            <w:tcMar>
              <w:top w:type="dxa" w:w="120"/>
              <w:left w:type="dxa" w:w="120"/>
              <w:bottom w:type="dxa" w:w="120"/>
              <w:right w:type="dxa" w:w="120"/>
            </w:tcMar>
          </w:tcPr>
          <w:p>
            <w:pPr>
              <w:spacing w:after="40" w:before="0"/>
              <w:jc w:val="center"/>
            </w:pPr>
            <w:r>
              <w:rPr>
                <w:rFonts w:ascii="Arial" w:cs="Arial" w:eastAsia="Arial" w:hAnsi="Arial"/>
                <w:b/>
                <w:bCs/>
                <w:color w:val="FFFFFF"/>
                <w:sz w:val="22"/>
                <w:szCs w:val="22"/>
              </w:rPr>
              <w:t xml:space="preserve">PILAR 3</w:t>
            </w:r>
          </w:p>
          <w:p>
            <w:pPr>
              <w:spacing w:after="60" w:before="0"/>
              <w:jc w:val="center"/>
            </w:pPr>
            <w:r>
              <w:rPr>
                <w:rFonts w:ascii="Arial" w:cs="Arial" w:eastAsia="Arial" w:hAnsi="Arial"/>
                <w:b/>
                <w:bCs/>
                <w:color w:val="FFFFFF"/>
                <w:sz w:val="24"/>
                <w:szCs w:val="24"/>
              </w:rPr>
              <w:t xml:space="preserve">CULTURA</w:t>
            </w:r>
          </w:p>
          <w:p>
            <w:pPr>
              <w:spacing w:after="0" w:before="0"/>
              <w:jc w:val="center"/>
            </w:pPr>
            <w:r>
              <w:rPr>
                <w:rFonts w:ascii="Georgia" w:cs="Georgia" w:eastAsia="Georgia" w:hAnsi="Georgia"/>
                <w:i/>
                <w:iCs/>
                <w:color w:val="CCEECC"/>
                <w:sz w:val="19"/>
                <w:szCs w:val="19"/>
              </w:rPr>
              <w:t xml:space="preserve">Construir cultura ciudadana de rechazo activo a la corrupción desde escuelas y empresas</w:t>
            </w:r>
          </w:p>
        </w:tc>
      </w:tr>
    </w:tbl>
    <w:p>
      <w:pPr>
        <w:spacing w:after="120" w:before="0"/>
      </w:pPr>
      <w:r>
        <w:rPr>
          <w:sz w:val="20"/>
          <w:szCs w:val="20"/>
        </w:rPr>
        <w:t xml:space="preserve"/>
      </w:r>
    </w:p>
    <w:p>
      <w:pPr>
        <w:pStyle w:val="Heading2"/>
        <w:pBdr>
          <w:bottom w:val="single" w:color="DE2910" w:sz="6" w:space="4"/>
        </w:pBdr>
        <w:spacing w:after="160" w:before="320"/>
      </w:pPr>
      <w:r>
        <w:rPr>
          <w:rFonts w:ascii="Arial" w:cs="Arial" w:eastAsia="Arial" w:hAnsi="Arial"/>
          <w:b/>
          <w:bCs/>
          <w:color w:val="DE2910"/>
          <w:sz w:val="28"/>
          <w:szCs w:val="28"/>
        </w:rPr>
        <w:t xml:space="preserve">Cómo Hong Kong Mantuvo el Sistema con el Tiempo</w:t>
      </w:r>
    </w:p>
    <w:p>
      <w:pPr>
        <w:spacing w:after="100" w:before="80"/>
      </w:pPr>
      <w:r>
        <w:rPr>
          <w:rFonts w:ascii="Georgia" w:cs="Georgia" w:eastAsia="Georgia" w:hAnsi="Georgia"/>
          <w:sz w:val="22"/>
          <w:szCs w:val="22"/>
        </w:rPr>
        <w:t xml:space="preserve">El ICAC sobrevivió durante décadas, incluso bajo presión política intensa, gracias a cuatro mecanismos que dificultaron su captura:</w:t>
      </w:r>
    </w:p>
    <w:p>
      <w:pPr>
        <w:pStyle w:val="ListParagraph"/>
        <w:numPr>
          <w:ilvl w:val="0"/>
          <w:numId w:val="2"/>
        </w:numPr>
        <w:spacing w:after="60" w:before="60"/>
      </w:pPr>
      <w:r>
        <w:rPr>
          <w:rFonts w:ascii="Georgia" w:cs="Georgia" w:eastAsia="Georgia" w:hAnsi="Georgia"/>
          <w:sz w:val="21"/>
          <w:szCs w:val="21"/>
        </w:rPr>
        <w:t xml:space="preserve">Los cuatro comités ciudadanos de supervisión se renuevan periódicamente y ningún gobierno puede designar mayorías en todos</w:t>
      </w:r>
    </w:p>
    <w:p>
      <w:pPr>
        <w:pStyle w:val="ListParagraph"/>
        <w:numPr>
          <w:ilvl w:val="0"/>
          <w:numId w:val="2"/>
        </w:numPr>
        <w:spacing w:after="60" w:before="60"/>
      </w:pPr>
      <w:r>
        <w:rPr>
          <w:rFonts w:ascii="Georgia" w:cs="Georgia" w:eastAsia="Georgia" w:hAnsi="Georgia"/>
          <w:sz w:val="21"/>
          <w:szCs w:val="21"/>
        </w:rPr>
        <w:t xml:space="preserve">Los resultados del ICAC se publican anualmente en un informe público con métricas específicas: casos abiertos, resueltos, tiempo de resolución</w:t>
      </w:r>
    </w:p>
    <w:p>
      <w:pPr>
        <w:pStyle w:val="ListParagraph"/>
        <w:numPr>
          <w:ilvl w:val="0"/>
          <w:numId w:val="2"/>
        </w:numPr>
        <w:spacing w:after="60" w:before="60"/>
      </w:pPr>
      <w:r>
        <w:rPr>
          <w:rFonts w:ascii="Georgia" w:cs="Georgia" w:eastAsia="Georgia" w:hAnsi="Georgia"/>
          <w:sz w:val="21"/>
          <w:szCs w:val="21"/>
        </w:rPr>
        <w:t xml:space="preserve">La ley que crea el ICAC requiere mayoría calificada para ser modificada, no mayoría simple</w:t>
      </w:r>
    </w:p>
    <w:p>
      <w:pPr>
        <w:pStyle w:val="ListParagraph"/>
        <w:numPr>
          <w:ilvl w:val="0"/>
          <w:numId w:val="2"/>
        </w:numPr>
        <w:spacing w:after="60" w:before="60"/>
      </w:pPr>
      <w:r>
        <w:rPr>
          <w:rFonts w:ascii="Georgia" w:cs="Georgia" w:eastAsia="Georgia" w:hAnsi="Georgia"/>
          <w:sz w:val="21"/>
          <w:szCs w:val="21"/>
        </w:rPr>
        <w:t xml:space="preserve">La cultura cambió: las encuestas de percepción ciudadana de la corrupción se aplican anualmente y son públicas, creando presión social continua</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aps/>
                <w:color w:val="999999"/>
                <w:sz w:val="15"/>
                <w:szCs w:val="15"/>
              </w:rPr>
              <w:t xml:space="preserve">FUENTES DE REFERENCIA</w:t>
            </w:r>
          </w:p>
          <w:p>
            <w:pPr>
              <w:spacing w:after="10" w:before="10"/>
            </w:pPr>
            <w:r>
              <w:rPr>
                <w:rFonts w:ascii="Arial" w:cs="Arial" w:eastAsia="Arial" w:hAnsi="Arial"/>
                <w:b/>
                <w:bCs/>
                <w:color w:val="555555"/>
                <w:sz w:val="15"/>
                <w:szCs w:val="15"/>
              </w:rPr>
              <w:t xml:space="preserve">[1] ICAC Hong Kong — Sitio oficial: </w:t>
            </w:r>
            <w:r>
              <w:rPr>
                <w:rFonts w:ascii="Arial" w:cs="Arial" w:eastAsia="Arial" w:hAnsi="Arial"/>
                <w:color w:val="1155CC"/>
                <w:sz w:val="15"/>
                <w:szCs w:val="15"/>
              </w:rPr>
              <w:t xml:space="preserve">https://www.icac.org.hk/en/index.html</w:t>
            </w:r>
          </w:p>
          <w:p>
            <w:pPr>
              <w:spacing w:after="10" w:before="10"/>
            </w:pPr>
            <w:r>
              <w:rPr>
                <w:rFonts w:ascii="Arial" w:cs="Arial" w:eastAsia="Arial" w:hAnsi="Arial"/>
                <w:b/>
                <w:bCs/>
                <w:color w:val="555555"/>
                <w:sz w:val="15"/>
                <w:szCs w:val="15"/>
              </w:rPr>
              <w:t xml:space="preserve">[2] ICAC — Prevention of Bribery Ordinance: </w:t>
            </w:r>
            <w:r>
              <w:rPr>
                <w:rFonts w:ascii="Arial" w:cs="Arial" w:eastAsia="Arial" w:hAnsi="Arial"/>
                <w:color w:val="1155CC"/>
                <w:sz w:val="15"/>
                <w:szCs w:val="15"/>
              </w:rPr>
              <w:t xml:space="preserve">https://www.elegislation.gov.hk/hk/cap201</w:t>
            </w:r>
          </w:p>
          <w:p>
            <w:pPr>
              <w:spacing w:after="10" w:before="10"/>
            </w:pPr>
            <w:r>
              <w:rPr>
                <w:rFonts w:ascii="Arial" w:cs="Arial" w:eastAsia="Arial" w:hAnsi="Arial"/>
                <w:b/>
                <w:bCs/>
                <w:color w:val="555555"/>
                <w:sz w:val="15"/>
                <w:szCs w:val="15"/>
              </w:rPr>
              <w:t xml:space="preserve">[3] ICAC — Annual Report 2023: </w:t>
            </w:r>
            <w:r>
              <w:rPr>
                <w:rFonts w:ascii="Arial" w:cs="Arial" w:eastAsia="Arial" w:hAnsi="Arial"/>
                <w:color w:val="1155CC"/>
                <w:sz w:val="15"/>
                <w:szCs w:val="15"/>
              </w:rPr>
              <w:t xml:space="preserve">https://www.icac.org.hk/en/about/report/annual/index.html</w:t>
            </w:r>
          </w:p>
          <w:p>
            <w:pPr>
              <w:spacing w:after="10" w:before="10"/>
            </w:pPr>
            <w:r>
              <w:rPr>
                <w:rFonts w:ascii="Arial" w:cs="Arial" w:eastAsia="Arial" w:hAnsi="Arial"/>
                <w:b/>
                <w:bCs/>
                <w:color w:val="555555"/>
                <w:sz w:val="15"/>
                <w:szCs w:val="15"/>
              </w:rPr>
              <w:t xml:space="preserve">[4] Hong Kong en Transparency International: </w:t>
            </w:r>
            <w:r>
              <w:rPr>
                <w:rFonts w:ascii="Arial" w:cs="Arial" w:eastAsia="Arial" w:hAnsi="Arial"/>
                <w:color w:val="1155CC"/>
                <w:sz w:val="15"/>
                <w:szCs w:val="15"/>
              </w:rPr>
              <w:t xml:space="preserve">https://www.transparency.org/en/countries/hong-kong</w:t>
            </w:r>
          </w:p>
        </w:tc>
      </w:tr>
    </w:tbl>
    <w:p>
      <w:pPr>
        <w:spacing w:after="120" w:before="0"/>
      </w:pPr>
      <w:r>
        <w:rPr>
          <w:sz w:val="20"/>
          <w:szCs w:val="20"/>
        </w:rPr>
        <w:t xml:space="preserve"/>
      </w:r>
    </w:p>
    <w:p>
      <w:pPr>
        <w:spacing w:after="12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space="0"/>
              <w:left w:val="none" w:color="FFFFFF" w:sz="0" w:space="0"/>
              <w:bottom w:val="none" w:color="FFFFFF" w:sz="0" w:space="0"/>
              <w:right w:val="none" w:color="FFFFFF" w:sz="0" w:space="0"/>
            </w:tcBorders>
            <w:shd w:fill="00247D" w:val="clear"/>
            <w:tcMar>
              <w:top w:type="dxa" w:w="180"/>
              <w:left w:type="dxa" w:w="160"/>
              <w:bottom w:type="dxa" w:w="180"/>
              <w:right w:type="dxa" w:w="0"/>
            </w:tcMar>
          </w:tcPr>
          <w:p>
            <w:pPr>
              <w:spacing w:after="0" w:before="0"/>
              <w:jc w:val="center"/>
            </w:pPr>
            <w:r>
              <w:rPr>
                <w:rFonts w:ascii="Segoe UI Emoji" w:cs="Segoe UI Emoji" w:eastAsia="Segoe UI Emoji" w:hAnsi="Segoe UI Emoji"/>
                <w:sz w:val="48"/>
                <w:szCs w:val="48"/>
              </w:rPr>
              <w:t xml:space="preserve">🇳🇿</w:t>
            </w:r>
          </w:p>
        </w:tc>
        <w:tc>
          <w:tcPr>
            <w:tcW w:type="dxa" w:w="8460"/>
            <w:tcBorders>
              <w:top w:val="none" w:color="FFFFFF" w:sz="0" w:space="0"/>
              <w:left w:val="none" w:color="FFFFFF" w:sz="0" w:space="0"/>
              <w:bottom w:val="none" w:color="FFFFFF" w:sz="0" w:space="0"/>
              <w:right w:val="none" w:color="FFFFFF" w:sz="0" w:space="0"/>
            </w:tcBorders>
            <w:shd w:fill="00247D" w:val="clear"/>
            <w:tcMar>
              <w:top w:type="dxa" w:w="160"/>
              <w:left w:type="dxa" w:w="240"/>
              <w:bottom w:type="dxa" w:w="160"/>
              <w:right w:type="dxa" w:w="240"/>
            </w:tcMar>
          </w:tcPr>
          <w:p>
            <w:pPr>
              <w:spacing w:after="30" w:before="0"/>
            </w:pPr>
            <w:r>
              <w:rPr>
                <w:rFonts w:ascii="Arial" w:cs="Arial" w:eastAsia="Arial" w:hAnsi="Arial"/>
                <w:b/>
                <w:bCs/>
                <w:color w:val="FFFFFF"/>
                <w:sz w:val="36"/>
                <w:szCs w:val="36"/>
              </w:rPr>
              <w:t xml:space="preserve">NUEVA ZELANDA — El Estado Que Se Audita a Sí Mismo</w:t>
            </w:r>
          </w:p>
          <w:p>
            <w:pPr>
              <w:spacing w:after="0" w:before="0"/>
            </w:pPr>
            <w:r>
              <w:rPr>
                <w:rFonts w:ascii="Georgia" w:cs="Georgia" w:eastAsia="Georgia" w:hAnsi="Georgia"/>
                <w:i/>
                <w:iCs/>
                <w:color w:val="DDDDDD"/>
                <w:sz w:val="20"/>
                <w:szCs w:val="20"/>
              </w:rPr>
              <w:t xml:space="preserve">Ley de denuncia protegida + prensa independiente + jueces inamovibles = confianza irreversible</w:t>
            </w:r>
          </w:p>
        </w:tc>
      </w:tr>
    </w:tbl>
    <w:p>
      <w:pPr>
        <w:spacing w:after="120" w:before="0"/>
      </w:pPr>
      <w:r>
        <w:rPr>
          <w:sz w:val="20"/>
          <w:szCs w:val="20"/>
        </w:rPr>
        <w:t xml:space="preserve"/>
      </w:r>
    </w:p>
    <w:p>
      <w:pPr>
        <w:pStyle w:val="Heading2"/>
        <w:pBdr>
          <w:bottom w:val="single" w:color="00247D" w:sz="6" w:space="4"/>
        </w:pBdr>
        <w:spacing w:after="160" w:before="320"/>
      </w:pPr>
      <w:r>
        <w:rPr>
          <w:rFonts w:ascii="Arial" w:cs="Arial" w:eastAsia="Arial" w:hAnsi="Arial"/>
          <w:b/>
          <w:bCs/>
          <w:color w:val="00247D"/>
          <w:sz w:val="28"/>
          <w:szCs w:val="28"/>
        </w:rPr>
        <w:t xml:space="preserve">La Reforma Que Cambió Todo: State Sector Act 1988</w:t>
      </w:r>
    </w:p>
    <w:p>
      <w:pPr>
        <w:spacing w:after="100" w:before="80"/>
      </w:pPr>
      <w:r>
        <w:rPr>
          <w:rFonts w:ascii="Georgia" w:cs="Georgia" w:eastAsia="Georgia" w:hAnsi="Georgia"/>
          <w:sz w:val="22"/>
          <w:szCs w:val="22"/>
        </w:rPr>
        <w:t xml:space="preserve">Nueva Zelanda no tenía un escándalo de corrupción masiva que obligara a un cambio radical. Tuvo algo más sostenible: una decisión política deliberada de construir un Estado moderno, eficiente y transparente como ventaja competitiva nacional.</w:t>
      </w:r>
    </w:p>
    <w:p>
      <w:pPr>
        <w:spacing w:after="100" w:before="80"/>
      </w:pPr>
      <w:r>
        <w:rPr>
          <w:rFonts w:ascii="Georgia" w:cs="Georgia" w:eastAsia="Georgia" w:hAnsi="Georgia"/>
          <w:sz w:val="22"/>
          <w:szCs w:val="22"/>
        </w:rPr>
        <w:t xml:space="preserve">El State Sector Act de 1988 rediseñó completamente la estructura del Estado: introdujo contratos de desempeño para funcionarios, métricas públicas de eficiencia institucional, declaraciones obligatorias de conflictos de interés y separación entre decisiones políticas y decisiones técnicas.</w:t>
      </w:r>
    </w:p>
    <w:p>
      <w:pPr>
        <w:spacing w:after="120" w:before="0"/>
      </w:pPr>
      <w:r>
        <w:rPr>
          <w:sz w:val="20"/>
          <w:szCs w:val="20"/>
        </w:rPr>
        <w:t xml:space="preserve"/>
      </w:r>
    </w:p>
    <w:p>
      <w:pPr>
        <w:pStyle w:val="Heading2"/>
        <w:pBdr>
          <w:bottom w:val="single" w:color="00247D" w:sz="6" w:space="4"/>
        </w:pBdr>
        <w:spacing w:after="160" w:before="320"/>
      </w:pPr>
      <w:r>
        <w:rPr>
          <w:rFonts w:ascii="Arial" w:cs="Arial" w:eastAsia="Arial" w:hAnsi="Arial"/>
          <w:b/>
          <w:bCs/>
          <w:color w:val="00247D"/>
          <w:sz w:val="28"/>
          <w:szCs w:val="28"/>
        </w:rPr>
        <w:t xml:space="preserve">Los Pilares del Modelo Neozelandés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space="0"/>
              <w:left w:val="single" w:color="BBBBBB" w:sz="4" w:space="0"/>
              <w:bottom w:val="single" w:color="BBBBBB" w:sz="4" w:space="0"/>
              <w:right w:val="single" w:color="BBBBBB" w:sz="4" w:space="0"/>
            </w:tcBorders>
            <w:shd w:fill="00247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PILAR</w:t>
            </w:r>
          </w:p>
        </w:tc>
        <w:tc>
          <w:tcPr>
            <w:tcW w:type="dxa" w:w="6760"/>
            <w:tcBorders>
              <w:top w:val="single" w:color="BBBBBB" w:sz="4" w:space="0"/>
              <w:left w:val="single" w:color="BBBBBB" w:sz="4" w:space="0"/>
              <w:bottom w:val="single" w:color="BBBBBB" w:sz="4" w:space="0"/>
              <w:right w:val="single" w:color="BBBBBB" w:sz="4" w:space="0"/>
            </w:tcBorders>
            <w:shd w:fill="00247D" w:val="clear"/>
            <w:tcMar>
              <w:top w:type="dxa" w:w="100"/>
              <w:left w:type="dxa" w:w="140"/>
              <w:bottom w:type="dxa" w:w="100"/>
              <w:right w:type="dxa" w:w="140"/>
            </w:tcMar>
          </w:tcPr>
          <w:p>
            <w:pPr>
              <w:spacing w:after="0" w:before="0"/>
            </w:pPr>
            <w:r>
              <w:rPr>
                <w:rFonts w:ascii="Georgia" w:cs="Georgia" w:eastAsia="Georgia" w:hAnsi="Georgia"/>
                <w:color w:val="FFFFFF"/>
                <w:sz w:val="20"/>
                <w:szCs w:val="20"/>
              </w:rPr>
              <w:t xml:space="preserve">DESCRIPCIÓN</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Ley de Información Oficial (1982)</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Cualquier ciudadano puede solicitar cualquier documento público al Estado. El organismo tiene plazo legal para responder. Si no responde, puede ser sancionado por el Ombudsman independiente</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Ley de Denuncia Protegida (2000)</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Protege a empleados públicos y privados que denuncien corrupción. La denuncia anónima está permitida. El represaliado tiene acción legal directa contra quien lo sancione por denunciar</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Judicial independiente</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Los jueces son nombrados por el Gobernador General con consulta amplia al sector jurídico. Son prácticamente inamovibles. La corrupción judicial es estadísticamente inexistente</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Serious Fraud Office</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Organismo especializado en fraude y corrupción financiera. Opera con independencia funcional. Sus investigaciones no pueden ser detenidas por el gobierno</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Prensa independiente</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La ley garantiza libertad de prensa total. Los medios investigan corrupción sin restricciones legales. Esta vigilancia externa es tan importante como los organismos formales</w:t>
            </w:r>
          </w:p>
        </w:tc>
      </w:tr>
    </w:tbl>
    <w:p>
      <w:pPr>
        <w:spacing w:after="120" w:before="0"/>
      </w:pPr>
      <w:r>
        <w:rPr>
          <w:sz w:val="20"/>
          <w:szCs w:val="20"/>
        </w:rPr>
        <w:t xml:space="preserve"/>
      </w:r>
    </w:p>
    <w:p>
      <w:pPr>
        <w:pStyle w:val="Heading2"/>
        <w:pBdr>
          <w:bottom w:val="single" w:color="00247D" w:sz="6" w:space="4"/>
        </w:pBdr>
        <w:spacing w:after="160" w:before="320"/>
      </w:pPr>
      <w:r>
        <w:rPr>
          <w:rFonts w:ascii="Arial" w:cs="Arial" w:eastAsia="Arial" w:hAnsi="Arial"/>
          <w:b/>
          <w:bCs/>
          <w:color w:val="00247D"/>
          <w:sz w:val="28"/>
          <w:szCs w:val="28"/>
        </w:rPr>
        <w:t xml:space="preserve">El Principio Cultural de Nueva Zelanda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En Nueva Zelanda, la corrupción no se combate principalmente con leyes. Se combate con cultura. El consenso ciudadano de que la integridad pública es no negociable es tan fuerte que los propios funcionarios se autoregulan. Las leyes son el respaldo cuando falla la cultura, no el mecanismo principal.</w:t>
            </w:r>
          </w:p>
        </w:tc>
      </w:tr>
    </w:tbl>
    <w:p>
      <w:pPr>
        <w:spacing w:after="120" w:before="0"/>
      </w:pPr>
      <w:r>
        <w:rPr>
          <w:sz w:val="20"/>
          <w:szCs w:val="20"/>
        </w:rPr>
        <w:t xml:space="preserve"/>
      </w:r>
    </w:p>
    <w:p>
      <w:pPr>
        <w:spacing w:after="100" w:before="80"/>
      </w:pPr>
      <w:r>
        <w:rPr>
          <w:rFonts w:ascii="Georgia" w:cs="Georgia" w:eastAsia="Georgia" w:hAnsi="Georgia"/>
          <w:sz w:val="22"/>
          <w:szCs w:val="22"/>
        </w:rPr>
        <w:t xml:space="preserve">Esto no es idealismo. Es el resultado de décadas de políticas concretas: salarios dignos para funcionarios, cultura de rendición de cuentas desde la escuela, prensa que investiga y publica sin miedo y un sistema judicial que procesa casos de corrupción en tiempo razonable.</w:t>
      </w:r>
    </w:p>
    <w:p>
      <w:pPr>
        <w:spacing w:after="120" w:before="0"/>
      </w:pPr>
      <w:r>
        <w:rPr>
          <w:sz w:val="20"/>
          <w:szCs w:val="20"/>
        </w:rPr>
        <w:t xml:space="preserve"/>
      </w:r>
    </w:p>
    <w:p>
      <w:pPr>
        <w:pStyle w:val="Heading2"/>
        <w:pBdr>
          <w:bottom w:val="single" w:color="00247D" w:sz="6" w:space="4"/>
        </w:pBdr>
        <w:spacing w:after="160" w:before="320"/>
      </w:pPr>
      <w:r>
        <w:rPr>
          <w:rFonts w:ascii="Arial" w:cs="Arial" w:eastAsia="Arial" w:hAnsi="Arial"/>
          <w:b/>
          <w:bCs/>
          <w:color w:val="00247D"/>
          <w:sz w:val="28"/>
          <w:szCs w:val="28"/>
        </w:rPr>
        <w:t xml:space="preserve">Cómo Nueva Zelanda Mantuvo el Sistema con el Tiempo</w:t>
      </w:r>
    </w:p>
    <w:p>
      <w:pPr>
        <w:pStyle w:val="ListParagraph"/>
        <w:numPr>
          <w:ilvl w:val="0"/>
          <w:numId w:val="2"/>
        </w:numPr>
        <w:spacing w:after="60" w:before="60"/>
      </w:pPr>
      <w:r>
        <w:rPr>
          <w:rFonts w:ascii="Georgia" w:cs="Georgia" w:eastAsia="Georgia" w:hAnsi="Georgia"/>
          <w:sz w:val="21"/>
          <w:szCs w:val="21"/>
        </w:rPr>
        <w:t xml:space="preserve">El Ombudsman es un cargo constitucional inamovible que recibe denuncias directamente de los ciudadanos y puede iniciar investigaciones de oficio</w:t>
      </w:r>
    </w:p>
    <w:p>
      <w:pPr>
        <w:pStyle w:val="ListParagraph"/>
        <w:numPr>
          <w:ilvl w:val="0"/>
          <w:numId w:val="2"/>
        </w:numPr>
        <w:spacing w:after="60" w:before="60"/>
      </w:pPr>
      <w:r>
        <w:rPr>
          <w:rFonts w:ascii="Georgia" w:cs="Georgia" w:eastAsia="Georgia" w:hAnsi="Georgia"/>
          <w:sz w:val="21"/>
          <w:szCs w:val="21"/>
        </w:rPr>
        <w:t xml:space="preserve">Las métricas de percepción de corrupción son parte de los indicadores de desempeño del gobierno y se publican en el presupuesto nacional</w:t>
      </w:r>
    </w:p>
    <w:p>
      <w:pPr>
        <w:pStyle w:val="ListParagraph"/>
        <w:numPr>
          <w:ilvl w:val="0"/>
          <w:numId w:val="2"/>
        </w:numPr>
        <w:spacing w:after="60" w:before="60"/>
      </w:pPr>
      <w:r>
        <w:rPr>
          <w:rFonts w:ascii="Georgia" w:cs="Georgia" w:eastAsia="Georgia" w:hAnsi="Georgia"/>
          <w:sz w:val="21"/>
          <w:szCs w:val="21"/>
        </w:rPr>
        <w:t xml:space="preserve">Los tratados internacionales anticorrupción ratificados tienen jerarquía superior a las leyes ordinarias: ningún parlamento puede derogar compromisos internacionales por mayoría simple</w:t>
      </w:r>
    </w:p>
    <w:p>
      <w:pPr>
        <w:pStyle w:val="ListParagraph"/>
        <w:numPr>
          <w:ilvl w:val="0"/>
          <w:numId w:val="2"/>
        </w:numPr>
        <w:spacing w:after="60" w:before="60"/>
      </w:pPr>
      <w:r>
        <w:rPr>
          <w:rFonts w:ascii="Georgia" w:cs="Georgia" w:eastAsia="Georgia" w:hAnsi="Georgia"/>
          <w:sz w:val="21"/>
          <w:szCs w:val="21"/>
        </w:rPr>
        <w:t xml:space="preserve">La sociedad civil organizada monitorea activamente el cumplimiento: las organizaciones de transparencia tienen acceso directo a documentos del Estado por ley</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aps/>
                <w:color w:val="999999"/>
                <w:sz w:val="15"/>
                <w:szCs w:val="15"/>
              </w:rPr>
              <w:t xml:space="preserve">FUENTES DE REFERENCIA</w:t>
            </w:r>
          </w:p>
          <w:p>
            <w:pPr>
              <w:spacing w:after="10" w:before="10"/>
            </w:pPr>
            <w:r>
              <w:rPr>
                <w:rFonts w:ascii="Arial" w:cs="Arial" w:eastAsia="Arial" w:hAnsi="Arial"/>
                <w:b/>
                <w:bCs/>
                <w:color w:val="555555"/>
                <w:sz w:val="15"/>
                <w:szCs w:val="15"/>
              </w:rPr>
              <w:t xml:space="preserve">[1] Nueva Zelanda — Official Information Act 1982: </w:t>
            </w:r>
            <w:r>
              <w:rPr>
                <w:rFonts w:ascii="Arial" w:cs="Arial" w:eastAsia="Arial" w:hAnsi="Arial"/>
                <w:color w:val="1155CC"/>
                <w:sz w:val="15"/>
                <w:szCs w:val="15"/>
              </w:rPr>
              <w:t xml:space="preserve">https://www.legislation.govt.nz/act/public/1982/0156/latest/DLM64785.html</w:t>
            </w:r>
          </w:p>
          <w:p>
            <w:pPr>
              <w:spacing w:after="10" w:before="10"/>
            </w:pPr>
            <w:r>
              <w:rPr>
                <w:rFonts w:ascii="Arial" w:cs="Arial" w:eastAsia="Arial" w:hAnsi="Arial"/>
                <w:b/>
                <w:bCs/>
                <w:color w:val="555555"/>
                <w:sz w:val="15"/>
                <w:szCs w:val="15"/>
              </w:rPr>
              <w:t xml:space="preserve">[2] Protected Disclosures Act 2000 — Nueva Zelanda: </w:t>
            </w:r>
            <w:r>
              <w:rPr>
                <w:rFonts w:ascii="Arial" w:cs="Arial" w:eastAsia="Arial" w:hAnsi="Arial"/>
                <w:color w:val="1155CC"/>
                <w:sz w:val="15"/>
                <w:szCs w:val="15"/>
              </w:rPr>
              <w:t xml:space="preserve">https://www.legislation.govt.nz/act/public/2000/0007/latest/whole.html</w:t>
            </w:r>
          </w:p>
          <w:p>
            <w:pPr>
              <w:spacing w:after="10" w:before="10"/>
            </w:pPr>
            <w:r>
              <w:rPr>
                <w:rFonts w:ascii="Arial" w:cs="Arial" w:eastAsia="Arial" w:hAnsi="Arial"/>
                <w:b/>
                <w:bCs/>
                <w:color w:val="555555"/>
                <w:sz w:val="15"/>
                <w:szCs w:val="15"/>
              </w:rPr>
              <w:t xml:space="preserve">[3] Serious Fraud Office Nueva Zelanda: </w:t>
            </w:r>
            <w:r>
              <w:rPr>
                <w:rFonts w:ascii="Arial" w:cs="Arial" w:eastAsia="Arial" w:hAnsi="Arial"/>
                <w:color w:val="1155CC"/>
                <w:sz w:val="15"/>
                <w:szCs w:val="15"/>
              </w:rPr>
              <w:t xml:space="preserve">https://www.sfo.govt.nz</w:t>
            </w:r>
          </w:p>
          <w:p>
            <w:pPr>
              <w:spacing w:after="10" w:before="10"/>
            </w:pPr>
            <w:r>
              <w:rPr>
                <w:rFonts w:ascii="Arial" w:cs="Arial" w:eastAsia="Arial" w:hAnsi="Arial"/>
                <w:b/>
                <w:bCs/>
                <w:color w:val="555555"/>
                <w:sz w:val="15"/>
                <w:szCs w:val="15"/>
              </w:rPr>
              <w:t xml:space="preserve">[4] Nueva Zelanda en Transparency International: </w:t>
            </w:r>
            <w:r>
              <w:rPr>
                <w:rFonts w:ascii="Arial" w:cs="Arial" w:eastAsia="Arial" w:hAnsi="Arial"/>
                <w:color w:val="1155CC"/>
                <w:sz w:val="15"/>
                <w:szCs w:val="15"/>
              </w:rPr>
              <w:t xml:space="preserve">https://www.transparency.org/en/countries/new-zealand</w:t>
            </w:r>
          </w:p>
          <w:p>
            <w:pPr>
              <w:spacing w:after="10" w:before="10"/>
            </w:pPr>
            <w:r>
              <w:rPr>
                <w:rFonts w:ascii="Arial" w:cs="Arial" w:eastAsia="Arial" w:hAnsi="Arial"/>
                <w:b/>
                <w:bCs/>
                <w:color w:val="555555"/>
                <w:sz w:val="15"/>
                <w:szCs w:val="15"/>
              </w:rPr>
              <w:t xml:space="preserve">[5] Ombudsman Nueva Zelanda: </w:t>
            </w:r>
            <w:r>
              <w:rPr>
                <w:rFonts w:ascii="Arial" w:cs="Arial" w:eastAsia="Arial" w:hAnsi="Arial"/>
                <w:color w:val="1155CC"/>
                <w:sz w:val="15"/>
                <w:szCs w:val="15"/>
              </w:rPr>
              <w:t xml:space="preserve">https://www.ombudsman.parliament.nz</w:t>
            </w:r>
          </w:p>
        </w:tc>
      </w:tr>
    </w:tbl>
    <w:p>
      <w:pPr>
        <w:spacing w:after="120" w:before="0"/>
      </w:pPr>
      <w:r>
        <w:rPr>
          <w:sz w:val="20"/>
          <w:szCs w:val="20"/>
        </w:rPr>
        <w:t xml:space="preserve"/>
      </w:r>
    </w:p>
    <w:p>
      <w:pPr>
        <w:spacing w:after="120" w:before="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space="0"/>
              <w:left w:val="none" w:color="FFFFFF" w:sz="0" w:space="0"/>
              <w:bottom w:val="none" w:color="FFFFFF" w:sz="0" w:space="0"/>
              <w:right w:val="none" w:color="FFFFFF" w:sz="0" w:space="0"/>
            </w:tcBorders>
            <w:shd w:fill="C60C30" w:val="clear"/>
            <w:tcMar>
              <w:top w:type="dxa" w:w="180"/>
              <w:left w:type="dxa" w:w="160"/>
              <w:bottom w:type="dxa" w:w="180"/>
              <w:right w:type="dxa" w:w="0"/>
            </w:tcMar>
          </w:tcPr>
          <w:p>
            <w:pPr>
              <w:spacing w:after="0" w:before="0"/>
              <w:jc w:val="center"/>
            </w:pPr>
            <w:r>
              <w:rPr>
                <w:rFonts w:ascii="Segoe UI Emoji" w:cs="Segoe UI Emoji" w:eastAsia="Segoe UI Emoji" w:hAnsi="Segoe UI Emoji"/>
                <w:sz w:val="48"/>
                <w:szCs w:val="48"/>
              </w:rPr>
              <w:t xml:space="preserve">🇩🇰</w:t>
            </w:r>
          </w:p>
        </w:tc>
        <w:tc>
          <w:tcPr>
            <w:tcW w:type="dxa" w:w="8460"/>
            <w:tcBorders>
              <w:top w:val="none" w:color="FFFFFF" w:sz="0" w:space="0"/>
              <w:left w:val="none" w:color="FFFFFF" w:sz="0" w:space="0"/>
              <w:bottom w:val="none" w:color="FFFFFF" w:sz="0" w:space="0"/>
              <w:right w:val="none" w:color="FFFFFF" w:sz="0" w:space="0"/>
            </w:tcBorders>
            <w:shd w:fill="C60C30" w:val="clear"/>
            <w:tcMar>
              <w:top w:type="dxa" w:w="160"/>
              <w:left w:type="dxa" w:w="240"/>
              <w:bottom w:type="dxa" w:w="160"/>
              <w:right w:type="dxa" w:w="240"/>
            </w:tcMar>
          </w:tcPr>
          <w:p>
            <w:pPr>
              <w:spacing w:after="30" w:before="0"/>
            </w:pPr>
            <w:r>
              <w:rPr>
                <w:rFonts w:ascii="Arial" w:cs="Arial" w:eastAsia="Arial" w:hAnsi="Arial"/>
                <w:b/>
                <w:bCs/>
                <w:color w:val="FFFFFF"/>
                <w:sz w:val="36"/>
                <w:szCs w:val="36"/>
              </w:rPr>
              <w:t xml:space="preserve">DINAMARCA — El País Menos Corrupto del Mundo</w:t>
            </w:r>
          </w:p>
          <w:p>
            <w:pPr>
              <w:spacing w:after="0" w:before="0"/>
            </w:pPr>
            <w:r>
              <w:rPr>
                <w:rFonts w:ascii="Georgia" w:cs="Georgia" w:eastAsia="Georgia" w:hAnsi="Georgia"/>
                <w:i/>
                <w:iCs/>
                <w:color w:val="DDDDDD"/>
                <w:sz w:val="20"/>
                <w:szCs w:val="20"/>
              </w:rPr>
              <w:t xml:space="preserve">La corrupción no se combate solo con leyes. Se hace irrelevante construyendo confianza social.</w:t>
            </w:r>
          </w:p>
        </w:tc>
      </w:tr>
    </w:tbl>
    <w:p>
      <w:pPr>
        <w:spacing w:after="120" w:before="0"/>
      </w:pPr>
      <w:r>
        <w:rPr>
          <w:sz w:val="20"/>
          <w:szCs w:val="20"/>
        </w:rPr>
        <w:t xml:space="preserve"/>
      </w:r>
    </w:p>
    <w:p>
      <w:pPr>
        <w:pStyle w:val="Heading2"/>
        <w:pBdr>
          <w:bottom w:val="single" w:color="C60C30" w:sz="6" w:space="4"/>
        </w:pBdr>
        <w:spacing w:after="160" w:before="320"/>
      </w:pPr>
      <w:r>
        <w:rPr>
          <w:rFonts w:ascii="Arial" w:cs="Arial" w:eastAsia="Arial" w:hAnsi="Arial"/>
          <w:b/>
          <w:bCs/>
          <w:color w:val="C60C30"/>
          <w:sz w:val="28"/>
          <w:szCs w:val="28"/>
        </w:rPr>
        <w:t xml:space="preserve">El Secreto de Dinamarca</w:t>
      </w:r>
    </w:p>
    <w:p>
      <w:pPr>
        <w:spacing w:after="100" w:before="80"/>
      </w:pPr>
      <w:r>
        <w:rPr>
          <w:rFonts w:ascii="Georgia" w:cs="Georgia" w:eastAsia="Georgia" w:hAnsi="Georgia"/>
          <w:sz w:val="22"/>
          <w:szCs w:val="22"/>
        </w:rPr>
        <w:t xml:space="preserve">Dinamarca es el país menos corrupto del mundo según Transparency International en múltiples ediciones consecutivas. Lo paradójico es que no tiene un gran organismo anticorrupción dedicado. No tiene una ley espectacular de tolerancia cero. No tiene una narrativa dramática de reforma.</w:t>
      </w:r>
    </w:p>
    <w:p>
      <w:pPr>
        <w:spacing w:after="100" w:before="80"/>
      </w:pPr>
      <w:r>
        <w:rPr>
          <w:rFonts w:ascii="Georgia" w:cs="Georgia" w:eastAsia="Georgia" w:hAnsi="Georgia"/>
          <w:sz w:val="22"/>
          <w:szCs w:val="22"/>
        </w:rPr>
        <w:t xml:space="preserve">Tiene algo más difícil de copiar pero más sostenible: una cultura de confianza social tan profunda que la corrupción es vista como una traición personal al contrato colectivo, no solo como un delito. En Dinamarca, corromperse no te hace rico. Te destruye socialmente.</w:t>
      </w:r>
    </w:p>
    <w:p>
      <w:pPr>
        <w:spacing w:after="120" w:before="0"/>
      </w:pPr>
      <w:r>
        <w:rPr>
          <w:sz w:val="20"/>
          <w:szCs w:val="20"/>
        </w:rPr>
        <w:t xml:space="preserve"/>
      </w:r>
    </w:p>
    <w:p>
      <w:pPr>
        <w:pStyle w:val="Heading2"/>
        <w:pBdr>
          <w:bottom w:val="single" w:color="C60C30" w:sz="6" w:space="4"/>
        </w:pBdr>
        <w:spacing w:after="160" w:before="320"/>
      </w:pPr>
      <w:r>
        <w:rPr>
          <w:rFonts w:ascii="Arial" w:cs="Arial" w:eastAsia="Arial" w:hAnsi="Arial"/>
          <w:b/>
          <w:bCs/>
          <w:color w:val="C60C30"/>
          <w:sz w:val="28"/>
          <w:szCs w:val="28"/>
        </w:rPr>
        <w:t xml:space="preserve">El Marco Legal Danés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space="0"/>
              <w:left w:val="single" w:color="BBBBBB" w:sz="4" w:space="0"/>
              <w:bottom w:val="single" w:color="BBBBBB" w:sz="4" w:space="0"/>
              <w:right w:val="single" w:color="BBBBBB" w:sz="4" w:space="0"/>
            </w:tcBorders>
            <w:shd w:fill="C60C3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INSTRUMENTO</w:t>
            </w:r>
          </w:p>
        </w:tc>
        <w:tc>
          <w:tcPr>
            <w:tcW w:type="dxa" w:w="6760"/>
            <w:tcBorders>
              <w:top w:val="single" w:color="BBBBBB" w:sz="4" w:space="0"/>
              <w:left w:val="single" w:color="BBBBBB" w:sz="4" w:space="0"/>
              <w:bottom w:val="single" w:color="BBBBBB" w:sz="4" w:space="0"/>
              <w:right w:val="single" w:color="BBBBBB" w:sz="4" w:space="0"/>
            </w:tcBorders>
            <w:shd w:fill="C60C30" w:val="clear"/>
            <w:tcMar>
              <w:top w:type="dxa" w:w="100"/>
              <w:left w:type="dxa" w:w="140"/>
              <w:bottom w:type="dxa" w:w="100"/>
              <w:right w:type="dxa" w:w="140"/>
            </w:tcMar>
          </w:tcPr>
          <w:p>
            <w:pPr>
              <w:spacing w:after="0" w:before="0"/>
            </w:pPr>
            <w:r>
              <w:rPr>
                <w:rFonts w:ascii="Georgia" w:cs="Georgia" w:eastAsia="Georgia" w:hAnsi="Georgia"/>
                <w:color w:val="FFFFFF"/>
                <w:sz w:val="20"/>
                <w:szCs w:val="20"/>
              </w:rPr>
              <w:t xml:space="preserve">DESCRIPCIÓN</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Código Penal</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Prohíbe el soborno activo y pasivo, tráfico de influencias, malversación, fraude y lavado de dinero. Penas de hasta 6 años. Los productos del delito son confiscados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Fiscalía Especializada</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La SØIK (Fiscalía de Delincuencia Económica e Internacional) tiene jurisdicción exclusiva sobre casos de corrupción y fraude de gran escala. Opera con independencia funcional</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Sistema de Control Policial</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Una unidad independiente dentro de la policía analiza riesgos de corrupción internamente. Publica informes anuales. Los ciudadanos pueden denunciar corrupción policial sin represalia</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Convenciones Internacionales</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Dinamarca ratificó la UNCAC, el Convenio del Consejo de Europa contra la Corrupción y es miembro activo del GRECO. Los compromisos internacionales son vinculantes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Independencia judicial</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Garantizada constitucionalmente. Los jueces son nombrados de por vida. No pueden ser removidos por decisión política</w:t>
            </w:r>
          </w:p>
        </w:tc>
      </w:tr>
    </w:tbl>
    <w:p>
      <w:pPr>
        <w:spacing w:after="120" w:before="0"/>
      </w:pPr>
      <w:r>
        <w:rPr>
          <w:sz w:val="20"/>
          <w:szCs w:val="20"/>
        </w:rPr>
        <w:t xml:space="preserve"/>
      </w:r>
    </w:p>
    <w:p>
      <w:pPr>
        <w:pStyle w:val="Heading2"/>
        <w:pBdr>
          <w:bottom w:val="single" w:color="C60C30" w:sz="6" w:space="4"/>
        </w:pBdr>
        <w:spacing w:after="160" w:before="320"/>
      </w:pPr>
      <w:r>
        <w:rPr>
          <w:rFonts w:ascii="Arial" w:cs="Arial" w:eastAsia="Arial" w:hAnsi="Arial"/>
          <w:b/>
          <w:bCs/>
          <w:color w:val="C60C30"/>
          <w:sz w:val="28"/>
          <w:szCs w:val="28"/>
        </w:rPr>
        <w:t xml:space="preserve">Los Cinco Pilares del Modelo Danés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200"/>
            <w:tcBorders>
              <w:top w:val="single" w:color="BBBBBB" w:sz="4" w:space="0"/>
              <w:left w:val="single" w:color="BBBBBB" w:sz="4" w:space="0"/>
              <w:bottom w:val="single" w:color="BBBBBB" w:sz="4" w:space="0"/>
              <w:right w:val="single" w:color="BBBBBB" w:sz="4" w:space="0"/>
            </w:tcBorders>
            <w:shd w:fill="C60C30"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Confianza social</w:t>
            </w:r>
          </w:p>
        </w:tc>
        <w:tc>
          <w:tcPr>
            <w:tcW w:type="dxa" w:w="71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sz w:val="20"/>
                <w:szCs w:val="20"/>
              </w:rPr>
              <w:t xml:space="preserve">La sociedad danesa rechaza la corrupción como norma cultural, no solo como ilegalidad. Los ciudadanos actúan como vigilantes naturales del sistema.</w:t>
            </w:r>
          </w:p>
        </w:tc>
      </w:tr>
      <w:tr>
        <w:tc>
          <w:tcPr>
            <w:tcW w:type="dxa" w:w="22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Transparencia radical</w:t>
            </w:r>
          </w:p>
        </w:tc>
        <w:tc>
          <w:tcPr>
            <w:tcW w:type="dxa" w:w="71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sz w:val="20"/>
                <w:szCs w:val="20"/>
              </w:rPr>
              <w:t xml:space="preserve">Todos los salarios de funcionarios, contratos del Estado y decisiones presupuestarias son públicos y accesibles en línea de forma proactiva.</w:t>
            </w:r>
          </w:p>
        </w:tc>
      </w:tr>
      <w:tr>
        <w:tc>
          <w:tcPr>
            <w:tcW w:type="dxa" w:w="22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Prensa poderosa</w:t>
            </w:r>
          </w:p>
        </w:tc>
        <w:tc>
          <w:tcPr>
            <w:tcW w:type="dxa" w:w="71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sz w:val="20"/>
                <w:szCs w:val="20"/>
              </w:rPr>
              <w:t xml:space="preserve">Los medios investigan y publican sin restricciones. El periodismo de investigación es financiado como servicio público.</w:t>
            </w:r>
          </w:p>
        </w:tc>
      </w:tr>
      <w:tr>
        <w:tc>
          <w:tcPr>
            <w:tcW w:type="dxa" w:w="22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Instituciones independientes</w:t>
            </w:r>
          </w:p>
        </w:tc>
        <w:tc>
          <w:tcPr>
            <w:tcW w:type="dxa" w:w="71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sz w:val="20"/>
                <w:szCs w:val="20"/>
              </w:rPr>
              <w:t xml:space="preserve">El poder judicial, la fiscalía y los organismos de control operan sin interferencia política real, no solo formal.</w:t>
            </w:r>
          </w:p>
        </w:tc>
      </w:tr>
      <w:tr>
        <w:tc>
          <w:tcPr>
            <w:tcW w:type="dxa" w:w="22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Financiamiento político regulado</w:t>
            </w:r>
          </w:p>
        </w:tc>
        <w:tc>
          <w:tcPr>
            <w:tcW w:type="dxa" w:w="71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sz w:val="20"/>
                <w:szCs w:val="20"/>
              </w:rPr>
              <w:t xml:space="preserve">Las leyes de financiamiento de campañas son claras, públicas y auditadas. Los países con esas leyes aplicadas tienen en promedio 70+ en el CPI.</w:t>
            </w:r>
          </w:p>
        </w:tc>
      </w:tr>
    </w:tbl>
    <w:p>
      <w:pPr>
        <w:spacing w:after="120" w:before="0"/>
      </w:pPr>
      <w:r>
        <w:rPr>
          <w:sz w:val="20"/>
          <w:szCs w:val="20"/>
        </w:rPr>
        <w:t xml:space="preserve"/>
      </w:r>
    </w:p>
    <w:p>
      <w:pPr>
        <w:pStyle w:val="Heading2"/>
        <w:pBdr>
          <w:bottom w:val="single" w:color="C60C30" w:sz="6" w:space="4"/>
        </w:pBdr>
        <w:spacing w:after="160" w:before="320"/>
      </w:pPr>
      <w:r>
        <w:rPr>
          <w:rFonts w:ascii="Arial" w:cs="Arial" w:eastAsia="Arial" w:hAnsi="Arial"/>
          <w:b/>
          <w:bCs/>
          <w:color w:val="C60C30"/>
          <w:sz w:val="28"/>
          <w:szCs w:val="28"/>
        </w:rPr>
        <w:t xml:space="preserve">La Lección Más Importante de Dinamarca para Ecuador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Los países que mejor combaten la corrupción son aquellos donde la financiación de campañas políticas es completamente transparente y auditada. Cuando el dinero sucio entra a la política, contamina todas las instituciones desde la cima. Esa es la reforma más difícil y más urgente que Ecuador necesita.</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aps/>
                <w:color w:val="999999"/>
                <w:sz w:val="15"/>
                <w:szCs w:val="15"/>
              </w:rPr>
              <w:t xml:space="preserve">FUENTES DE REFERENCIA</w:t>
            </w:r>
          </w:p>
          <w:p>
            <w:pPr>
              <w:spacing w:after="10" w:before="10"/>
            </w:pPr>
            <w:r>
              <w:rPr>
                <w:rFonts w:ascii="Arial" w:cs="Arial" w:eastAsia="Arial" w:hAnsi="Arial"/>
                <w:b/>
                <w:bCs/>
                <w:color w:val="555555"/>
                <w:sz w:val="15"/>
                <w:szCs w:val="15"/>
              </w:rPr>
              <w:t xml:space="preserve">[1] Código Penal de Dinamarca — Sección anticorrupción: </w:t>
            </w:r>
            <w:r>
              <w:rPr>
                <w:rFonts w:ascii="Arial" w:cs="Arial" w:eastAsia="Arial" w:hAnsi="Arial"/>
                <w:color w:val="1155CC"/>
                <w:sz w:val="15"/>
                <w:szCs w:val="15"/>
              </w:rPr>
              <w:t xml:space="preserve">https://www.retsinformation.dk/eli/lta/2021/1360</w:t>
            </w:r>
          </w:p>
          <w:p>
            <w:pPr>
              <w:spacing w:after="10" w:before="10"/>
            </w:pPr>
            <w:r>
              <w:rPr>
                <w:rFonts w:ascii="Arial" w:cs="Arial" w:eastAsia="Arial" w:hAnsi="Arial"/>
                <w:b/>
                <w:bCs/>
                <w:color w:val="555555"/>
                <w:sz w:val="15"/>
                <w:szCs w:val="15"/>
              </w:rPr>
              <w:t xml:space="preserve">[2] SØIK — Fiscalía de Delincuencia Económica Internacional de Dinamarca: </w:t>
            </w:r>
            <w:r>
              <w:rPr>
                <w:rFonts w:ascii="Arial" w:cs="Arial" w:eastAsia="Arial" w:hAnsi="Arial"/>
                <w:color w:val="1155CC"/>
                <w:sz w:val="15"/>
                <w:szCs w:val="15"/>
              </w:rPr>
              <w:t xml:space="preserve">https://anklagemyndigheden.dk/en/serious-economic-and-international-crime</w:t>
            </w:r>
          </w:p>
          <w:p>
            <w:pPr>
              <w:spacing w:after="10" w:before="10"/>
            </w:pPr>
            <w:r>
              <w:rPr>
                <w:rFonts w:ascii="Arial" w:cs="Arial" w:eastAsia="Arial" w:hAnsi="Arial"/>
                <w:b/>
                <w:bCs/>
                <w:color w:val="555555"/>
                <w:sz w:val="15"/>
                <w:szCs w:val="15"/>
              </w:rPr>
              <w:t xml:space="preserve">[3] GRECO — Evaluación de Dinamarca: </w:t>
            </w:r>
            <w:r>
              <w:rPr>
                <w:rFonts w:ascii="Arial" w:cs="Arial" w:eastAsia="Arial" w:hAnsi="Arial"/>
                <w:color w:val="1155CC"/>
                <w:sz w:val="15"/>
                <w:szCs w:val="15"/>
              </w:rPr>
              <w:t xml:space="preserve">https://www.coe.int/en/web/greco/evaluations/denmark</w:t>
            </w:r>
          </w:p>
          <w:p>
            <w:pPr>
              <w:spacing w:after="10" w:before="10"/>
            </w:pPr>
            <w:r>
              <w:rPr>
                <w:rFonts w:ascii="Arial" w:cs="Arial" w:eastAsia="Arial" w:hAnsi="Arial"/>
                <w:b/>
                <w:bCs/>
                <w:color w:val="555555"/>
                <w:sz w:val="15"/>
                <w:szCs w:val="15"/>
              </w:rPr>
              <w:t xml:space="preserve">[4] Dinamarca en Transparency International: </w:t>
            </w:r>
            <w:r>
              <w:rPr>
                <w:rFonts w:ascii="Arial" w:cs="Arial" w:eastAsia="Arial" w:hAnsi="Arial"/>
                <w:color w:val="1155CC"/>
                <w:sz w:val="15"/>
                <w:szCs w:val="15"/>
              </w:rPr>
              <w:t xml:space="preserve">https://www.transparency.org/en/countries/denmark</w:t>
            </w:r>
          </w:p>
        </w:tc>
      </w:tr>
    </w:tbl>
    <w:p>
      <w:pPr>
        <w:spacing w:after="120" w:before="0"/>
      </w:pPr>
      <w:r>
        <w:rPr>
          <w:sz w:val="20"/>
          <w:szCs w:val="20"/>
        </w:rPr>
        <w:t xml:space="preserve"/>
      </w:r>
    </w:p>
    <w:p>
      <w:pPr>
        <w:spacing w:after="12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ECUADOR: DIAGNÓSTICO DEL MARCO LEGAL ACTUAL</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8B1A1A"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Ecuador tiene leyes anticorrupción. El problema no es que no existan. El problema es que están fragmentadas, tienen vacíos estratégicos, los organismos de control carecen de independencia real y los mecanismos de sanción son lentos e inconsistentes.</w:t>
            </w:r>
          </w:p>
        </w:tc>
      </w:tr>
    </w:tbl>
    <w:p>
      <w:pPr>
        <w:spacing w:after="120" w:before="0"/>
      </w:pPr>
      <w:r>
        <w:rPr>
          <w:sz w:val="20"/>
          <w:szCs w:val="20"/>
        </w:rPr>
        <w:t xml:space="preserve"/>
      </w:r>
    </w:p>
    <w:p>
      <w:pPr>
        <w:pStyle w:val="Heading2"/>
        <w:pBdr>
          <w:bottom w:val="single" w:color="8B1A1A" w:sz="6" w:space="4"/>
        </w:pBdr>
        <w:spacing w:after="160" w:before="320"/>
      </w:pPr>
      <w:r>
        <w:rPr>
          <w:rFonts w:ascii="Arial" w:cs="Arial" w:eastAsia="Arial" w:hAnsi="Arial"/>
          <w:b/>
          <w:bCs/>
          <w:color w:val="8B1A1A"/>
          <w:sz w:val="28"/>
          <w:szCs w:val="28"/>
        </w:rPr>
        <w:t xml:space="preserve">Inventario del Marco Legal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space="0"/>
              <w:left w:val="single" w:color="BBBBBB" w:sz="4" w:space="0"/>
              <w:bottom w:val="single" w:color="BBBBBB" w:sz="4" w:space="0"/>
              <w:right w:val="single" w:color="BBBBBB" w:sz="4" w:space="0"/>
            </w:tcBorders>
            <w:shd w:fill="8B1A1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INSTRUMENTO LEGAL</w:t>
            </w:r>
          </w:p>
        </w:tc>
        <w:tc>
          <w:tcPr>
            <w:tcW w:type="dxa" w:w="6760"/>
            <w:tcBorders>
              <w:top w:val="single" w:color="BBBBBB" w:sz="4" w:space="0"/>
              <w:left w:val="single" w:color="BBBBBB" w:sz="4" w:space="0"/>
              <w:bottom w:val="single" w:color="BBBBBB" w:sz="4" w:space="0"/>
              <w:right w:val="single" w:color="BBBBBB" w:sz="4" w:space="0"/>
            </w:tcBorders>
            <w:shd w:fill="8B1A1A" w:val="clear"/>
            <w:tcMar>
              <w:top w:type="dxa" w:w="100"/>
              <w:left w:type="dxa" w:w="140"/>
              <w:bottom w:type="dxa" w:w="100"/>
              <w:right w:type="dxa" w:w="140"/>
            </w:tcMar>
          </w:tcPr>
          <w:p>
            <w:pPr>
              <w:spacing w:after="0" w:before="0"/>
            </w:pPr>
            <w:r>
              <w:rPr>
                <w:rFonts w:ascii="Georgia" w:cs="Georgia" w:eastAsia="Georgia" w:hAnsi="Georgia"/>
                <w:color w:val="FFFFFF"/>
                <w:sz w:val="20"/>
                <w:szCs w:val="20"/>
              </w:rPr>
              <w:t xml:space="preserve">CONTENIDO Y LIMITACIONES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Constitución 2008 (Arts. 204–215)</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Define la Función de Transparencia y Control Social, el CPCCS, la Contraloría, la Defensoría y la Fiscalía. Establece la imprescriptibilidad del peculado. LIMITACIÓN: los organismos tienen independencia formal pero presupuesto y designaciones bajo influencia política.</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COIP — Delitos de corrupción (Arts. 278–294)</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Tipifica peculado, cohecho, concusión, enriquecimiento ilícito, tráfico de influencias. Penas de 7 a 13 años. LIMITACIÓN: las penas altas no se aplican consistentemente. La prescripción de la acción procesal genera impunidad en casos complejos.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Ley Anticorrupción 2021 (Reforma COIP)</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Añade obstrucción de justicia, sobreprecios en contratación y responsabilidad penal de personas jurídicas. LIMITACIÓN: no reforma los organismos de control ni su independencia. Fue parcialmente vetada. Genera conflictos de interpretación.</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LOTAIP — Ley Org. de Transparencia (2004)</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Obliga a publicar información pública en portales web. LIMITACIÓN: sin mecanismo real de sanción por incumplimiento. El Defensor del Pueblo no tiene poder coercitivo efectivo. La información publicada suele estar desactualizada o incompleta.</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LOSNCP — Ley de Contratación Pública</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Regula todo el sistema de compras del Estado a través del SERCOP. LIMITACIÓN: permite demasiadas excepciones por emergencia o régimen especial. Los estados de excepción han sido usados históricamente para evadir controles.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Ley Org. de la Contraloría</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Define las funciones de control posterior del Estado. LIMITACIÓN: el control es posterior, no preventivo. Los informes de indicios de responsabilidad penal no tienen fuerza ejecutiva directa sin decisión fiscal adicional.</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Ley Orgánica de Integridad Pública 2025 (LOIP)</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Reforma reciente que incluye nuevos mecanismos de declaración de bienes, conflictos de interés y normas de compliance. LIMITACIÓN: recién aprobada, sin reglamentación completa ni sistema de seguimiento digital.</w:t>
            </w:r>
          </w:p>
        </w:tc>
      </w:tr>
    </w:tbl>
    <w:p>
      <w:pPr>
        <w:spacing w:after="120" w:before="0"/>
      </w:pPr>
      <w:r>
        <w:rPr>
          <w:sz w:val="20"/>
          <w:szCs w:val="20"/>
        </w:rPr>
        <w:t xml:space="preserve"/>
      </w:r>
    </w:p>
    <w:p>
      <w:pPr>
        <w:spacing w:after="12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REFORMAS LEGALES PROPUESTAS: ORDEN, PRIORIDAD Y CONTENIDO</w:t>
      </w:r>
    </w:p>
    <w:p>
      <w:pPr>
        <w:spacing w:after="120" w:before="0"/>
      </w:pPr>
      <w:r>
        <w:rPr>
          <w:sz w:val="20"/>
          <w:szCs w:val="20"/>
        </w:rPr>
        <w:t xml:space="preserve"/>
      </w:r>
    </w:p>
    <w:p>
      <w:pPr>
        <w:spacing w:after="100" w:before="80"/>
      </w:pPr>
      <w:r>
        <w:rPr>
          <w:rFonts w:ascii="Georgia" w:cs="Georgia" w:eastAsia="Georgia" w:hAnsi="Georgia"/>
          <w:sz w:val="22"/>
          <w:szCs w:val="22"/>
        </w:rPr>
        <w:t xml:space="preserve">Las reformas están ordenadas por urgencia e impacto. Las primeras son las que habilitan todo lo demás. Las últimas consolidan el sistema a largo plazo. Ninguna es opcional si el objetivo es construir un ecosistema legal que sostenga al SNIP.</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CRITERIO DE PRIORIZACIÓN: Una reforma es de PRIORIDAD CRÍTICA si sin ella el SNIP no puede operar correctamente. Es de PRIORIDAD ALTA si fortalece significativamente su impacto. Es de PRIORIDAD MEDIA si consolida el sistema en el largo plazo.</w:t>
            </w:r>
          </w:p>
        </w:tc>
      </w:tr>
    </w:tbl>
    <w:p>
      <w:pPr>
        <w:spacing w:after="120" w:before="0"/>
      </w:pPr>
      <w:r>
        <w:rPr>
          <w:sz w:val="20"/>
          <w:szCs w:val="20"/>
        </w:rPr>
        <w:t xml:space="preserve"/>
      </w:r>
    </w:p>
    <w:p>
      <w:pPr>
        <w:spacing w:after="120" w:before="0"/>
      </w:pPr>
      <w:r>
        <w:rPr>
          <w:sz w:val="20"/>
          <w:szCs w:val="20"/>
        </w:rPr>
        <w:t xml:space="preserve"/>
      </w:r>
    </w:p>
    <w:p>
      <w:pPr>
        <w:pStyle w:val="Heading2"/>
        <w:pBdr>
          <w:bottom w:val="single" w:color="8B1A1A" w:sz="6" w:space="4"/>
        </w:pBdr>
        <w:spacing w:after="160" w:before="320"/>
      </w:pPr>
      <w:r>
        <w:rPr>
          <w:rFonts w:ascii="Arial" w:cs="Arial" w:eastAsia="Arial" w:hAnsi="Arial"/>
          <w:b/>
          <w:bCs/>
          <w:color w:val="8B1A1A"/>
          <w:sz w:val="28"/>
          <w:szCs w:val="28"/>
        </w:rPr>
        <w:t xml:space="preserve">NIVEL 1 — REFORMAS CRÍTICAS (Años 1–2): Sin Estas, el SNIP No Puede Funcionar</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8B1A1A" w:val="clear"/>
            <w:tcMar>
              <w:top w:type="dxa" w:w="0"/>
              <w:left w:type="dxa" w:w="0"/>
              <w:bottom w:type="dxa" w:w="0"/>
              <w:right w:type="dxa" w:w="0"/>
            </w:tcMar>
          </w:tcPr>
          <w:p>
            <w:r>
              <w:rPr>
                <w:sz w:val="20"/>
                <w:szCs w:val="20"/>
              </w:rPr>
              <w:t xml:space="preserve"> </w:t>
            </w:r>
          </w:p>
        </w:tc>
        <w:tc>
          <w:tcPr>
            <w:tcW w:type="dxa" w:w="9160"/>
            <w:tcBorders>
              <w:top w:val="single" w:color="8B1A1A" w:sz="8" w:space="0"/>
              <w:left w:val="none" w:color="FFFFFF" w:sz="0" w:space="0"/>
              <w:bottom w:val="single" w:color="8B1A1A"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8B1A1A"/>
                <w:sz w:val="24"/>
                <w:szCs w:val="24"/>
              </w:rPr>
              <w:t xml:space="preserve">1. Ley Orgánica de Creación del SNIP</w:t>
            </w:r>
            <w:r>
              <w:rPr>
                <w:rFonts w:ascii="Arial" w:cs="Arial" w:eastAsia="Arial" w:hAnsi="Arial"/>
                <w:b/>
                <w:bCs/>
                <w:color w:val="888888"/>
                <w:sz w:val="18"/>
                <w:szCs w:val="18"/>
              </w:rPr>
              <w:t xml:space="preserve">  |  PRIORIDAD: CRÍTICA  |  ACCION: CREAR</w:t>
            </w:r>
          </w:p>
          <w:p>
            <w:pPr>
              <w:spacing w:after="0" w:before="0"/>
            </w:pPr>
            <w:r>
              <w:rPr>
                <w:rFonts w:ascii="Georgia" w:cs="Georgia" w:eastAsia="Georgia" w:hAnsi="Georgia"/>
                <w:color w:val="222222"/>
                <w:sz w:val="21"/>
                <w:szCs w:val="21"/>
              </w:rPr>
              <w:t xml:space="preserve">El SNIP no puede existir como decreto ejecutivo ni como programa de gobierno. Debe ser creado por ley orgánica con rango constitucional. La ley debe definir: naturaleza jurídica autónoma, directorio de 7 miembros seleccionados por sorteo ciudadano verificado, mandatos de 6 años no renovables y escalonados, presupuesto como porcentaje fijo del PGE protegido de recortes, imposibilidad de ser suprimido o fusionado sin reforma constitucional. MODELO: ICAC de Hong Kong, CPIB de Singapur.</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8B1A1A" w:val="clear"/>
            <w:tcMar>
              <w:top w:type="dxa" w:w="0"/>
              <w:left w:type="dxa" w:w="0"/>
              <w:bottom w:type="dxa" w:w="0"/>
              <w:right w:type="dxa" w:w="0"/>
            </w:tcMar>
          </w:tcPr>
          <w:p>
            <w:r>
              <w:rPr>
                <w:sz w:val="20"/>
                <w:szCs w:val="20"/>
              </w:rPr>
              <w:t xml:space="preserve"> </w:t>
            </w:r>
          </w:p>
        </w:tc>
        <w:tc>
          <w:tcPr>
            <w:tcW w:type="dxa" w:w="9160"/>
            <w:tcBorders>
              <w:top w:val="single" w:color="8B1A1A" w:sz="8" w:space="0"/>
              <w:left w:val="none" w:color="FFFFFF" w:sz="0" w:space="0"/>
              <w:bottom w:val="single" w:color="8B1A1A"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8B1A1A"/>
                <w:sz w:val="24"/>
                <w:szCs w:val="24"/>
              </w:rPr>
              <w:t xml:space="preserve">2. Reforma a la LOTAIP — Transparencia Activa con Dientes</w:t>
            </w:r>
            <w:r>
              <w:rPr>
                <w:rFonts w:ascii="Arial" w:cs="Arial" w:eastAsia="Arial" w:hAnsi="Arial"/>
                <w:b/>
                <w:bCs/>
                <w:color w:val="888888"/>
                <w:sz w:val="18"/>
                <w:szCs w:val="18"/>
              </w:rPr>
              <w:t xml:space="preserve">  |  PRIORIDAD: CRÍTICA  |  ACCION: REFORMAR</w:t>
            </w:r>
          </w:p>
          <w:p>
            <w:pPr>
              <w:spacing w:after="0" w:before="0"/>
            </w:pPr>
            <w:r>
              <w:rPr>
                <w:rFonts w:ascii="Georgia" w:cs="Georgia" w:eastAsia="Georgia" w:hAnsi="Georgia"/>
                <w:color w:val="222222"/>
                <w:sz w:val="21"/>
                <w:szCs w:val="21"/>
              </w:rPr>
              <w:t xml:space="preserve">La LOTAIP vigente obliga a publicar información pero no tiene mecanismo sancionador real. La reforma debe: establecer multas automáticas por cada día de incumplimiento en la publicación, dar al Defensor del Pueblo poder coercitivo con sanción directa ejecutable, obligar a todas las instituciones a publicar en formatos de datos abiertos reutilizables (no PDF estáticos), crear el derecho ciudadano a impugnar información incompleta directamente ante el SNIP. MODELO: Freedom of Information Act de Nueva Zelanda.</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8B1A1A" w:val="clear"/>
            <w:tcMar>
              <w:top w:type="dxa" w:w="0"/>
              <w:left w:type="dxa" w:w="0"/>
              <w:bottom w:type="dxa" w:w="0"/>
              <w:right w:type="dxa" w:w="0"/>
            </w:tcMar>
          </w:tcPr>
          <w:p>
            <w:r>
              <w:rPr>
                <w:sz w:val="20"/>
                <w:szCs w:val="20"/>
              </w:rPr>
              <w:t xml:space="preserve"> </w:t>
            </w:r>
          </w:p>
        </w:tc>
        <w:tc>
          <w:tcPr>
            <w:tcW w:type="dxa" w:w="9160"/>
            <w:tcBorders>
              <w:top w:val="single" w:color="8B1A1A" w:sz="8" w:space="0"/>
              <w:left w:val="none" w:color="FFFFFF" w:sz="0" w:space="0"/>
              <w:bottom w:val="single" w:color="8B1A1A"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8B1A1A"/>
                <w:sz w:val="24"/>
                <w:szCs w:val="24"/>
              </w:rPr>
              <w:t xml:space="preserve">3. Reforma al COIP — Inversión de Carga de la Prueba en Enriquecimiento Ilícito</w:t>
            </w:r>
            <w:r>
              <w:rPr>
                <w:rFonts w:ascii="Arial" w:cs="Arial" w:eastAsia="Arial" w:hAnsi="Arial"/>
                <w:b/>
                <w:bCs/>
                <w:color w:val="888888"/>
                <w:sz w:val="18"/>
                <w:szCs w:val="18"/>
              </w:rPr>
              <w:t xml:space="preserve">  |  PRIORIDAD: CRÍTICA  |  ACCION: REFORMAR</w:t>
            </w:r>
          </w:p>
          <w:p>
            <w:pPr>
              <w:spacing w:after="0" w:before="0"/>
            </w:pPr>
            <w:r>
              <w:rPr>
                <w:rFonts w:ascii="Georgia" w:cs="Georgia" w:eastAsia="Georgia" w:hAnsi="Georgia"/>
                <w:color w:val="222222"/>
                <w:sz w:val="21"/>
                <w:szCs w:val="21"/>
              </w:rPr>
              <w:t xml:space="preserve">El enriquecimiento ilícito actual requiere que la Fiscalía demuestre el origen ilícito de los bienes. La reforma debe invertir parcialmente esa carga: si un funcionario posee bienes cuyo valor supera significativamente su patrimonio declarado al inicio del cargo y no puede demostrar su origen lícito, ese diferencial constituye evidencia suficiente para iniciar investigación penal sin necesidad de prueba adicional. MODELO: Prevention of Corruption Act de Singapur.</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8B1A1A" w:val="clear"/>
            <w:tcMar>
              <w:top w:type="dxa" w:w="0"/>
              <w:left w:type="dxa" w:w="0"/>
              <w:bottom w:type="dxa" w:w="0"/>
              <w:right w:type="dxa" w:w="0"/>
            </w:tcMar>
          </w:tcPr>
          <w:p>
            <w:r>
              <w:rPr>
                <w:sz w:val="20"/>
                <w:szCs w:val="20"/>
              </w:rPr>
              <w:t xml:space="preserve"> </w:t>
            </w:r>
          </w:p>
        </w:tc>
        <w:tc>
          <w:tcPr>
            <w:tcW w:type="dxa" w:w="9160"/>
            <w:tcBorders>
              <w:top w:val="single" w:color="8B1A1A" w:sz="8" w:space="0"/>
              <w:left w:val="none" w:color="FFFFFF" w:sz="0" w:space="0"/>
              <w:bottom w:val="single" w:color="8B1A1A"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8B1A1A"/>
                <w:sz w:val="24"/>
                <w:szCs w:val="24"/>
              </w:rPr>
              <w:t xml:space="preserve">4. Ley de Declaración Digital de Patrimonio e Intereses</w:t>
            </w:r>
            <w:r>
              <w:rPr>
                <w:rFonts w:ascii="Arial" w:cs="Arial" w:eastAsia="Arial" w:hAnsi="Arial"/>
                <w:b/>
                <w:bCs/>
                <w:color w:val="888888"/>
                <w:sz w:val="18"/>
                <w:szCs w:val="18"/>
              </w:rPr>
              <w:t xml:space="preserve">  |  PRIORIDAD: CRÍTICA  |  ACCION: CREAR</w:t>
            </w:r>
          </w:p>
          <w:p>
            <w:pPr>
              <w:spacing w:after="0" w:before="0"/>
            </w:pPr>
            <w:r>
              <w:rPr>
                <w:rFonts w:ascii="Georgia" w:cs="Georgia" w:eastAsia="Georgia" w:hAnsi="Georgia"/>
                <w:color w:val="222222"/>
                <w:sz w:val="21"/>
                <w:szCs w:val="21"/>
              </w:rPr>
              <w:t xml:space="preserve">Ecuador tiene declaraciones de patrimonio, pero en formularios que nadie analiza sistemáticamente. La nueva ley debe: exigir declaración digital estructurada al inicio, durante y al final de cada cargo, hacer las declaraciones públicas y comparables año a año en el portal del SNIP, obligar a declarar también bienes de cónyuge e hijos dependientes, permitir al SNIP cruzar automáticamente las declaraciones con registros del SRI, SERCOP y sistema financiero para detectar incrementos injustificados. MODELO: Sistema chileno + declaraciones digitales de Uruguay.</w:t>
            </w:r>
          </w:p>
        </w:tc>
      </w:tr>
    </w:tbl>
    <w:p>
      <w:pPr>
        <w:spacing w:after="120" w:before="0"/>
      </w:pPr>
      <w:r>
        <w:rPr>
          <w:sz w:val="20"/>
          <w:szCs w:val="20"/>
        </w:rPr>
        <w:t xml:space="preserve"/>
      </w:r>
    </w:p>
    <w:p>
      <w:pPr>
        <w:spacing w:after="120" w:before="0"/>
      </w:pPr>
      <w:r>
        <w:rPr>
          <w:sz w:val="20"/>
          <w:szCs w:val="20"/>
        </w:rPr>
        <w:t xml:space="preserve"/>
      </w:r>
    </w:p>
    <w:p>
      <w:pPr>
        <w:pStyle w:val="Heading2"/>
        <w:pBdr>
          <w:bottom w:val="single" w:color="1A3A6B" w:sz="6" w:space="4"/>
        </w:pBdr>
        <w:spacing w:after="160" w:before="320"/>
      </w:pPr>
      <w:r>
        <w:rPr>
          <w:rFonts w:ascii="Arial" w:cs="Arial" w:eastAsia="Arial" w:hAnsi="Arial"/>
          <w:b/>
          <w:bCs/>
          <w:color w:val="1A3A6B"/>
          <w:sz w:val="28"/>
          <w:szCs w:val="28"/>
        </w:rPr>
        <w:t xml:space="preserve">NIVEL 2 — REFORMAS DE ALTO IMPACTO (Años 2–4): Fortalecen Decisivamente el Sistema</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3A6B" w:val="clear"/>
            <w:tcMar>
              <w:top w:type="dxa" w:w="0"/>
              <w:left w:type="dxa" w:w="0"/>
              <w:bottom w:type="dxa" w:w="0"/>
              <w:right w:type="dxa" w:w="0"/>
            </w:tcMar>
          </w:tcPr>
          <w:p>
            <w:r>
              <w:rPr>
                <w:sz w:val="20"/>
                <w:szCs w:val="20"/>
              </w:rPr>
              <w:t xml:space="preserve"> </w:t>
            </w:r>
          </w:p>
        </w:tc>
        <w:tc>
          <w:tcPr>
            <w:tcW w:type="dxa" w:w="9160"/>
            <w:tcBorders>
              <w:top w:val="single" w:color="1A3A6B" w:sz="8" w:space="0"/>
              <w:left w:val="none" w:color="FFFFFF" w:sz="0" w:space="0"/>
              <w:bottom w:val="single" w:color="1A3A6B"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3A6B"/>
                <w:sz w:val="24"/>
                <w:szCs w:val="24"/>
              </w:rPr>
              <w:t xml:space="preserve">5. Ley de Protección al Denunciante (Whistleblower Act)</w:t>
            </w:r>
            <w:r>
              <w:rPr>
                <w:rFonts w:ascii="Arial" w:cs="Arial" w:eastAsia="Arial" w:hAnsi="Arial"/>
                <w:b/>
                <w:bCs/>
                <w:color w:val="888888"/>
                <w:sz w:val="18"/>
                <w:szCs w:val="18"/>
              </w:rPr>
              <w:t xml:space="preserve">  |  PRIORIDAD: ALTA  |  ACCION: CREAR</w:t>
            </w:r>
          </w:p>
          <w:p>
            <w:pPr>
              <w:spacing w:after="0" w:before="0"/>
            </w:pPr>
            <w:r>
              <w:rPr>
                <w:rFonts w:ascii="Georgia" w:cs="Georgia" w:eastAsia="Georgia" w:hAnsi="Georgia"/>
                <w:color w:val="222222"/>
                <w:sz w:val="21"/>
                <w:szCs w:val="21"/>
              </w:rPr>
              <w:t xml:space="preserve">Ecuador no tiene una ley efectiva que proteja a quien denuncia corrupción. El resultado: nadie denuncia. La ley debe garantizar: anonimato técnico protegido con validación solo ante el SNIP, imposibilidad de despido o sanción laboral por denuncia de buena fe, acceso a asesoría jurídica gratuita del Estado para el denunciante, en casos de corrupción mayor confirmada, la persona que denunció recibe una compensación proporcional a los bienes recuperados. MODELO: Ley de Denuncia Protegida de Nueva Zelanda + mecanismo de recompensa del CPIB de Singapur.</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3A6B" w:val="clear"/>
            <w:tcMar>
              <w:top w:type="dxa" w:w="0"/>
              <w:left w:type="dxa" w:w="0"/>
              <w:bottom w:type="dxa" w:w="0"/>
              <w:right w:type="dxa" w:w="0"/>
            </w:tcMar>
          </w:tcPr>
          <w:p>
            <w:r>
              <w:rPr>
                <w:sz w:val="20"/>
                <w:szCs w:val="20"/>
              </w:rPr>
              <w:t xml:space="preserve"> </w:t>
            </w:r>
          </w:p>
        </w:tc>
        <w:tc>
          <w:tcPr>
            <w:tcW w:type="dxa" w:w="9160"/>
            <w:tcBorders>
              <w:top w:val="single" w:color="1A3A6B" w:sz="8" w:space="0"/>
              <w:left w:val="none" w:color="FFFFFF" w:sz="0" w:space="0"/>
              <w:bottom w:val="single" w:color="1A3A6B"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3A6B"/>
                <w:sz w:val="24"/>
                <w:szCs w:val="24"/>
              </w:rPr>
              <w:t xml:space="preserve">6. Reforma a la Ley de Contratación Pública — Eliminación de Regímenes de Excepción</w:t>
            </w:r>
            <w:r>
              <w:rPr>
                <w:rFonts w:ascii="Arial" w:cs="Arial" w:eastAsia="Arial" w:hAnsi="Arial"/>
                <w:b/>
                <w:bCs/>
                <w:color w:val="888888"/>
                <w:sz w:val="18"/>
                <w:szCs w:val="18"/>
              </w:rPr>
              <w:t xml:space="preserve">  |  PRIORIDAD: ALTA  |  ACCION: REFORMAR</w:t>
            </w:r>
          </w:p>
          <w:p>
            <w:pPr>
              <w:spacing w:after="0" w:before="0"/>
            </w:pPr>
            <w:r>
              <w:rPr>
                <w:rFonts w:ascii="Georgia" w:cs="Georgia" w:eastAsia="Georgia" w:hAnsi="Georgia"/>
                <w:color w:val="222222"/>
                <w:sz w:val="21"/>
                <w:szCs w:val="21"/>
              </w:rPr>
              <w:t xml:space="preserve">La mayor ventana de corrupción en Ecuador es la contratación por emergencia y los regímenes especiales que eluden el SERCOP. La reforma debe: limitar estrictamente las causales de declaratoria de emergencia en contratación, exigir que toda contratación por emergencia sea reportada al SNIP en tiempo real en las primeras 24 horas, hacer imprescriptible la acción penal en contratos irregulares bajo emergencia, eliminar progresivamente los regímenes de excepción que permiten contratar sin concurso. MODELO: ChileCompra con protocolos de emergencia auditados.</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3A6B" w:val="clear"/>
            <w:tcMar>
              <w:top w:type="dxa" w:w="0"/>
              <w:left w:type="dxa" w:w="0"/>
              <w:bottom w:type="dxa" w:w="0"/>
              <w:right w:type="dxa" w:w="0"/>
            </w:tcMar>
          </w:tcPr>
          <w:p>
            <w:r>
              <w:rPr>
                <w:sz w:val="20"/>
                <w:szCs w:val="20"/>
              </w:rPr>
              <w:t xml:space="preserve"> </w:t>
            </w:r>
          </w:p>
        </w:tc>
        <w:tc>
          <w:tcPr>
            <w:tcW w:type="dxa" w:w="9160"/>
            <w:tcBorders>
              <w:top w:val="single" w:color="1A3A6B" w:sz="8" w:space="0"/>
              <w:left w:val="none" w:color="FFFFFF" w:sz="0" w:space="0"/>
              <w:bottom w:val="single" w:color="1A3A6B"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3A6B"/>
                <w:sz w:val="24"/>
                <w:szCs w:val="24"/>
              </w:rPr>
              <w:t xml:space="preserve">7. Reforma Constitucional — Autonomía Presupuestaria de Organismos de Control</w:t>
            </w:r>
            <w:r>
              <w:rPr>
                <w:rFonts w:ascii="Arial" w:cs="Arial" w:eastAsia="Arial" w:hAnsi="Arial"/>
                <w:b/>
                <w:bCs/>
                <w:color w:val="888888"/>
                <w:sz w:val="18"/>
                <w:szCs w:val="18"/>
              </w:rPr>
              <w:t xml:space="preserve">  |  PRIORIDAD: ALTA  |  ACCION: REFORMAR</w:t>
            </w:r>
          </w:p>
          <w:p>
            <w:pPr>
              <w:spacing w:after="0" w:before="0"/>
            </w:pPr>
            <w:r>
              <w:rPr>
                <w:rFonts w:ascii="Georgia" w:cs="Georgia" w:eastAsia="Georgia" w:hAnsi="Georgia"/>
                <w:color w:val="222222"/>
                <w:sz w:val="21"/>
                <w:szCs w:val="21"/>
              </w:rPr>
              <w:t xml:space="preserve">La Contraloría, la Fiscalía y el futuro SNIP deben tener presupuestos constitucionales protegidos. La propuesta: establecer en la Constitución que el presupuesto de los organismos de control no puede ser inferior al del año anterior en términos reales, ningún gobierno puede reducirlo como mecanismo de presión política, cualquier reducción requiere mayoría calificada de la Asamblea con informe técnico previo aprobado por la Corte Constitucional. MODELO: Protección presupuestaria del CPIB en Singapur.</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3A6B" w:val="clear"/>
            <w:tcMar>
              <w:top w:type="dxa" w:w="0"/>
              <w:left w:type="dxa" w:w="0"/>
              <w:bottom w:type="dxa" w:w="0"/>
              <w:right w:type="dxa" w:w="0"/>
            </w:tcMar>
          </w:tcPr>
          <w:p>
            <w:r>
              <w:rPr>
                <w:sz w:val="20"/>
                <w:szCs w:val="20"/>
              </w:rPr>
              <w:t xml:space="preserve"> </w:t>
            </w:r>
          </w:p>
        </w:tc>
        <w:tc>
          <w:tcPr>
            <w:tcW w:type="dxa" w:w="9160"/>
            <w:tcBorders>
              <w:top w:val="single" w:color="1A3A6B" w:sz="8" w:space="0"/>
              <w:left w:val="none" w:color="FFFFFF" w:sz="0" w:space="0"/>
              <w:bottom w:val="single" w:color="1A3A6B"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3A6B"/>
                <w:sz w:val="24"/>
                <w:szCs w:val="24"/>
              </w:rPr>
              <w:t xml:space="preserve">8. Ley de Regulación de Financiamiento Político</w:t>
            </w:r>
            <w:r>
              <w:rPr>
                <w:rFonts w:ascii="Arial" w:cs="Arial" w:eastAsia="Arial" w:hAnsi="Arial"/>
                <w:b/>
                <w:bCs/>
                <w:color w:val="888888"/>
                <w:sz w:val="18"/>
                <w:szCs w:val="18"/>
              </w:rPr>
              <w:t xml:space="preserve">  |  PRIORIDAD: ALTA  |  ACCION: CREAR</w:t>
            </w:r>
          </w:p>
          <w:p>
            <w:pPr>
              <w:spacing w:after="0" w:before="0"/>
            </w:pPr>
            <w:r>
              <w:rPr>
                <w:rFonts w:ascii="Georgia" w:cs="Georgia" w:eastAsia="Georgia" w:hAnsi="Georgia"/>
                <w:color w:val="222222"/>
                <w:sz w:val="21"/>
                <w:szCs w:val="21"/>
              </w:rPr>
              <w:t xml:space="preserve">Esta es la reforma más difícil pero más importante. La corrupción institucional en Ecuador nace en su mayoría en el financiamiento ilegal de campañas. La ley debe: obligar la declaración en tiempo real de cada donación mayor a un umbral mínimo, prohibir donaciones de empresas con contratos con el Estado, crear el delito de financiamiento político ilícito con pena privativa de libertad, permitir al CNE suspender automáticamente candidatos con financiamiento irregular confirmado. MODELO: Reformas chilenas post escándalo Penta y Soquimich + modelo danés de transparencia electoral.</w:t>
            </w:r>
          </w:p>
        </w:tc>
      </w:tr>
    </w:tbl>
    <w:p>
      <w:pPr>
        <w:spacing w:after="120" w:before="0"/>
      </w:pPr>
      <w:r>
        <w:rPr>
          <w:sz w:val="20"/>
          <w:szCs w:val="20"/>
        </w:rPr>
        <w:t xml:space="preserve"/>
      </w:r>
    </w:p>
    <w:p>
      <w:pPr>
        <w:spacing w:after="120" w:before="0"/>
      </w:pPr>
      <w:r>
        <w:rPr>
          <w:sz w:val="20"/>
          <w:szCs w:val="20"/>
        </w:rPr>
        <w:t xml:space="preserve"/>
      </w:r>
    </w:p>
    <w:p>
      <w:pPr>
        <w:pStyle w:val="Heading2"/>
        <w:pBdr>
          <w:bottom w:val="single" w:color="1A5C2E" w:sz="6" w:space="4"/>
        </w:pBdr>
        <w:spacing w:after="160" w:before="320"/>
      </w:pPr>
      <w:r>
        <w:rPr>
          <w:rFonts w:ascii="Arial" w:cs="Arial" w:eastAsia="Arial" w:hAnsi="Arial"/>
          <w:b/>
          <w:bCs/>
          <w:color w:val="1A5C2E"/>
          <w:sz w:val="28"/>
          <w:szCs w:val="28"/>
        </w:rPr>
        <w:t xml:space="preserve">NIVEL 3 — REFORMAS DE CONSOLIDACIÓN (Años 4–8): Blindan el Sistema a Largo Plazo</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5C2E" w:val="clear"/>
            <w:tcMar>
              <w:top w:type="dxa" w:w="0"/>
              <w:left w:type="dxa" w:w="0"/>
              <w:bottom w:type="dxa" w:w="0"/>
              <w:right w:type="dxa" w:w="0"/>
            </w:tcMar>
          </w:tcPr>
          <w:p>
            <w:r>
              <w:rPr>
                <w:sz w:val="20"/>
                <w:szCs w:val="20"/>
              </w:rPr>
              <w:t xml:space="preserve"> </w:t>
            </w:r>
          </w:p>
        </w:tc>
        <w:tc>
          <w:tcPr>
            <w:tcW w:type="dxa" w:w="9160"/>
            <w:tcBorders>
              <w:top w:val="single" w:color="1A5C2E" w:sz="8" w:space="0"/>
              <w:left w:val="none" w:color="FFFFFF" w:sz="0" w:space="0"/>
              <w:bottom w:val="single" w:color="1A5C2E"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5C2E"/>
                <w:sz w:val="24"/>
                <w:szCs w:val="24"/>
              </w:rPr>
              <w:t xml:space="preserve">9. Reforma Constitucional — Estatuto del Servicio Civil Independiente</w:t>
            </w:r>
            <w:r>
              <w:rPr>
                <w:rFonts w:ascii="Arial" w:cs="Arial" w:eastAsia="Arial" w:hAnsi="Arial"/>
                <w:b/>
                <w:bCs/>
                <w:color w:val="888888"/>
                <w:sz w:val="18"/>
                <w:szCs w:val="18"/>
              </w:rPr>
              <w:t xml:space="preserve">  |  PRIORIDAD: MEDIA  |  ACCION: CREAR</w:t>
            </w:r>
          </w:p>
          <w:p>
            <w:pPr>
              <w:spacing w:after="0" w:before="0"/>
            </w:pPr>
            <w:r>
              <w:rPr>
                <w:rFonts w:ascii="Georgia" w:cs="Georgia" w:eastAsia="Georgia" w:hAnsi="Georgia"/>
                <w:color w:val="222222"/>
                <w:sz w:val="21"/>
                <w:szCs w:val="21"/>
              </w:rPr>
              <w:t xml:space="preserve">La corrupción en Ecuador se reproduce porque los altos funcionarios del Estado cambian con cada gobierno. La reforma debe: crear un cuerpo permanente de altos funcionarios técnicos con concurso méritos, inamovibles por decisión política, que garantice continuidad institucional entre gobiernos. MODELO: Civil Service de Singapur y Hong Kong como base de estabilidad institucional.</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5C2E" w:val="clear"/>
            <w:tcMar>
              <w:top w:type="dxa" w:w="0"/>
              <w:left w:type="dxa" w:w="0"/>
              <w:bottom w:type="dxa" w:w="0"/>
              <w:right w:type="dxa" w:w="0"/>
            </w:tcMar>
          </w:tcPr>
          <w:p>
            <w:r>
              <w:rPr>
                <w:sz w:val="20"/>
                <w:szCs w:val="20"/>
              </w:rPr>
              <w:t xml:space="preserve"> </w:t>
            </w:r>
          </w:p>
        </w:tc>
        <w:tc>
          <w:tcPr>
            <w:tcW w:type="dxa" w:w="9160"/>
            <w:tcBorders>
              <w:top w:val="single" w:color="1A5C2E" w:sz="8" w:space="0"/>
              <w:left w:val="none" w:color="FFFFFF" w:sz="0" w:space="0"/>
              <w:bottom w:val="single" w:color="1A5C2E"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5C2E"/>
                <w:sz w:val="24"/>
                <w:szCs w:val="24"/>
              </w:rPr>
              <w:t xml:space="preserve">10. Ley de Interoperabilidad del Estado</w:t>
            </w:r>
            <w:r>
              <w:rPr>
                <w:rFonts w:ascii="Arial" w:cs="Arial" w:eastAsia="Arial" w:hAnsi="Arial"/>
                <w:b/>
                <w:bCs/>
                <w:color w:val="888888"/>
                <w:sz w:val="18"/>
                <w:szCs w:val="18"/>
              </w:rPr>
              <w:t xml:space="preserve">  |  PRIORIDAD: MEDIA  |  ACCION: CREAR</w:t>
            </w:r>
          </w:p>
          <w:p>
            <w:pPr>
              <w:spacing w:after="0" w:before="0"/>
            </w:pPr>
            <w:r>
              <w:rPr>
                <w:rFonts w:ascii="Georgia" w:cs="Georgia" w:eastAsia="Georgia" w:hAnsi="Georgia"/>
                <w:color w:val="222222"/>
                <w:sz w:val="21"/>
                <w:szCs w:val="21"/>
              </w:rPr>
              <w:t xml:space="preserve">Ningún sistema de control funciona si las bases de datos del Estado están fragmentadas. Esta ley obliga a: todos los registros del Estado compartan datos con el SNIP en tiempo real, ninguna institución puede negarse a la integración bajo ninguna causal, los formatos de datos son estándar y abiertos, la propiedad de los datos es del ciudadano, no de la institución. MODELO: X-Road de Estonia adaptado al contexto jurídico ecuatoriano.</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space="0"/>
              <w:left w:val="none" w:color="FFFFFF" w:sz="0" w:space="0"/>
              <w:bottom w:val="none" w:color="FFFFFF" w:sz="0" w:space="0"/>
              <w:right w:val="none" w:color="FFFFFF" w:sz="0" w:space="0"/>
            </w:tcBorders>
            <w:shd w:fill="1A5C2E" w:val="clear"/>
            <w:tcMar>
              <w:top w:type="dxa" w:w="0"/>
              <w:left w:type="dxa" w:w="0"/>
              <w:bottom w:type="dxa" w:w="0"/>
              <w:right w:type="dxa" w:w="0"/>
            </w:tcMar>
          </w:tcPr>
          <w:p>
            <w:r>
              <w:rPr>
                <w:sz w:val="20"/>
                <w:szCs w:val="20"/>
              </w:rPr>
              <w:t xml:space="preserve"> </w:t>
            </w:r>
          </w:p>
        </w:tc>
        <w:tc>
          <w:tcPr>
            <w:tcW w:type="dxa" w:w="9160"/>
            <w:tcBorders>
              <w:top w:val="single" w:color="1A5C2E" w:sz="8" w:space="0"/>
              <w:left w:val="none" w:color="FFFFFF" w:sz="0" w:space="0"/>
              <w:bottom w:val="single" w:color="1A5C2E" w:sz="8" w:space="0"/>
              <w:right w:val="none" w:color="FFFFFF" w:sz="0" w:space="0"/>
            </w:tcBorders>
            <w:shd w:fill="F4F5F7" w:val="clear"/>
            <w:tcMar>
              <w:top w:type="dxa" w:w="140"/>
              <w:left w:type="dxa" w:w="180"/>
              <w:bottom w:type="dxa" w:w="140"/>
              <w:right w:type="dxa" w:w="180"/>
            </w:tcMar>
          </w:tcPr>
          <w:p>
            <w:pPr>
              <w:spacing w:after="60" w:before="0"/>
            </w:pPr>
            <w:r>
              <w:rPr>
                <w:rFonts w:ascii="Arial" w:cs="Arial" w:eastAsia="Arial" w:hAnsi="Arial"/>
                <w:b/>
                <w:bCs/>
                <w:color w:val="1A5C2E"/>
                <w:sz w:val="24"/>
                <w:szCs w:val="24"/>
              </w:rPr>
              <w:t xml:space="preserve">11. Reforma al Sistema Judicial — Juicio Rápido Anticorrupción</w:t>
            </w:r>
            <w:r>
              <w:rPr>
                <w:rFonts w:ascii="Arial" w:cs="Arial" w:eastAsia="Arial" w:hAnsi="Arial"/>
                <w:b/>
                <w:bCs/>
                <w:color w:val="888888"/>
                <w:sz w:val="18"/>
                <w:szCs w:val="18"/>
              </w:rPr>
              <w:t xml:space="preserve">  |  PRIORIDAD: MEDIA  |  ACCION: REFORMAR</w:t>
            </w:r>
          </w:p>
          <w:p>
            <w:pPr>
              <w:spacing w:after="0" w:before="0"/>
            </w:pPr>
            <w:r>
              <w:rPr>
                <w:rFonts w:ascii="Georgia" w:cs="Georgia" w:eastAsia="Georgia" w:hAnsi="Georgia"/>
                <w:color w:val="222222"/>
                <w:sz w:val="21"/>
                <w:szCs w:val="21"/>
              </w:rPr>
              <w:t xml:space="preserve">Las penas altas en el COIP son simbólicas si los juicios duran 8 años. La reforma debe: crear una sala especializada en delitos de corrupción con jueces dedicados exclusivamente a esos casos, establecer plazos máximos de 18 meses para casos de primer nivel y 30 meses para casos complejos, con imprescriptibilidad de la acción pero prescripción del proceso si el Estado no actúa en los plazos definidos. MODELO: Tribunales especializados anticorrupción de Singapur.</w:t>
            </w:r>
          </w:p>
        </w:tc>
      </w:tr>
    </w:tbl>
    <w:p>
      <w:pPr>
        <w:spacing w:after="120" w:before="0"/>
      </w:pPr>
      <w:r>
        <w:rPr>
          <w:sz w:val="20"/>
          <w:szCs w:val="20"/>
        </w:rPr>
        <w:t xml:space="preserve"/>
      </w:r>
    </w:p>
    <w:p>
      <w:pPr>
        <w:spacing w:after="12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LEYES QUE DEBEN DESAPARECER, FUSIONARSE O REFORMARSE ESTRUCTURALMENTE</w:t>
      </w:r>
    </w:p>
    <w:p>
      <w:pPr>
        <w:spacing w:after="120" w:before="0"/>
      </w:pPr>
      <w:r>
        <w:rPr>
          <w:sz w:val="20"/>
          <w:szCs w:val="20"/>
        </w:rPr>
        <w:t xml:space="preserve"/>
      </w:r>
    </w:p>
    <w:p>
      <w:pPr>
        <w:spacing w:after="100" w:before="80"/>
      </w:pPr>
      <w:r>
        <w:rPr>
          <w:rFonts w:ascii="Georgia" w:cs="Georgia" w:eastAsia="Georgia" w:hAnsi="Georgia"/>
          <w:sz w:val="22"/>
          <w:szCs w:val="22"/>
        </w:rPr>
        <w:t xml:space="preserve">No toda reforma es crear leyes nuevas. Algunas leyes existentes deben eliminarse porque generan duplicidad, confusión jurídica o vacíos que facilitan la impunidad.</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460"/>
        <w:gridCol w:w="1300"/>
      </w:tblGrid>
      <w:tr>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INSTRUMENTO</w:t>
            </w:r>
          </w:p>
        </w:tc>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ACCIÓN</w:t>
            </w:r>
          </w:p>
        </w:tc>
        <w:tc>
          <w:tcPr>
            <w:tcW w:type="dxa" w:w="44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MOTIVO</w:t>
            </w:r>
          </w:p>
        </w:tc>
        <w:tc>
          <w:tcPr>
            <w:tcW w:type="dxa" w:w="13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PRIORIDAD</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Regímenes de excepción en LOSNCP (Arts. 57, 58, 94, 95, 96)</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ELIMINAR o RESTRINGIR SEVERAMENTE</w:t>
            </w:r>
          </w:p>
        </w:tc>
        <w:tc>
          <w:tcPr>
            <w:tcW w:type="dxa" w:w="44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Estos artículos son la principal puerta de entrada a la corrupción en contratación pública. Cada estado de emergencia convierte estos artículos en una licencia para contratar sin control. No tienen equivalente en modelos comparados exitosos.</w:t>
            </w:r>
          </w:p>
        </w:tc>
        <w:tc>
          <w:tcPr>
            <w:tcW w:type="dxa" w:w="13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CRÍTICA</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Disposiciones de prescripción procesal para delitos de corrupción en COIP</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ELIMINAR</w:t>
            </w:r>
          </w:p>
        </w:tc>
        <w:tc>
          <w:tcPr>
            <w:tcW w:type="dxa" w:w="44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La imprescriptibilidad está en la Constitución pero los plazos procesales permiten que casos complejos mueran por inacción. Contradicción interna que debe resolverse a favor de la imprescriptibilidad real.</w:t>
            </w:r>
          </w:p>
        </w:tc>
        <w:tc>
          <w:tcPr>
            <w:tcW w:type="dxa" w:w="13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CRÍTICA</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Normas que permiten al Ejecutivo designar directamente a autoridades de organismos de control</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ELIMINAR</w:t>
            </w:r>
          </w:p>
        </w:tc>
        <w:tc>
          <w:tcPr>
            <w:tcW w:type="dxa" w:w="44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En la Constitución actual, varios mecanismos de designación tienen influencia ejecutiva directa. Deben reemplazarse por sorteo ciudadano verificado o concurso técnico con veeduría internacional.</w:t>
            </w:r>
          </w:p>
        </w:tc>
        <w:tc>
          <w:tcPr>
            <w:tcW w:type="dxa" w:w="13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ALTA</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Duplicidad Contraloría / Fiscalía en informes de indicios</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FUSIONAR PROCESO</w:t>
            </w:r>
          </w:p>
        </w:tc>
        <w:tc>
          <w:tcPr>
            <w:tcW w:type="dxa" w:w="44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Actualmente la Contraloría emite informes de indicios, la Fiscalía debe reiniciar su propia investigación casi desde cero. El proceso debe integrarse: el informe de Contraloría vinculado al SNIP activa automáticamente la investigación fiscal sin trámite adicional.</w:t>
            </w:r>
          </w:p>
        </w:tc>
        <w:tc>
          <w:tcPr>
            <w:tcW w:type="dxa" w:w="13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ALTA</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Reglas de clasificación de información reservada sin plazo ni control externo</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REFORMAR</w:t>
            </w:r>
          </w:p>
        </w:tc>
        <w:tc>
          <w:tcPr>
            <w:tcW w:type="dxa" w:w="44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 Estado puede declarar reservada cualquier información por decisión interna sin control externo ni plazo máximo. Esto crea opacidad arbitraria. Toda reserva debe tener plazo máximo y revisión automática por el SNIP.</w:t>
            </w:r>
          </w:p>
        </w:tc>
        <w:tc>
          <w:tcPr>
            <w:tcW w:type="dxa" w:w="13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MEDIA</w:t>
            </w:r>
          </w:p>
        </w:tc>
      </w:tr>
    </w:tbl>
    <w:p>
      <w:pPr>
        <w:spacing w:after="120" w:before="0"/>
      </w:pPr>
      <w:r>
        <w:rPr>
          <w:sz w:val="20"/>
          <w:szCs w:val="20"/>
        </w:rPr>
        <w:t xml:space="preserve"/>
      </w:r>
    </w:p>
    <w:p>
      <w:pPr>
        <w:spacing w:after="12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CANDADOS LEGALES: CÓMO BLINDAR EL SISTEMA CONTRA CAPTURAS FUTURAS</w:t>
      </w:r>
    </w:p>
    <w:p>
      <w:pPr>
        <w:spacing w:after="120" w:before="0"/>
      </w:pPr>
      <w:r>
        <w:rPr>
          <w:sz w:val="20"/>
          <w:szCs w:val="20"/>
        </w:rPr>
        <w:t xml:space="preserve"/>
      </w:r>
    </w:p>
    <w:p>
      <w:pPr>
        <w:spacing w:after="100" w:before="80"/>
      </w:pPr>
      <w:r>
        <w:rPr>
          <w:rFonts w:ascii="Georgia" w:cs="Georgia" w:eastAsia="Georgia" w:hAnsi="Georgia"/>
          <w:sz w:val="22"/>
          <w:szCs w:val="22"/>
        </w:rPr>
        <w:t xml:space="preserve">El mayor riesgo de cualquier sistema anticorrupción no es que no funcione al inicio. Es que sea capturado o desmantelado gradualmente por los actores que controla. Estos son los candados que hacen eso técnicamente difícil:</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TRIBUNAL DE CINCO PARA CASOS DE MÁXIMA GRAVEDAD</w:t>
            </w:r>
          </w:p>
          <w:p>
            <w:pPr>
              <w:spacing w:after="0" w:before="0"/>
            </w:pPr>
            <w:r>
              <w:rPr>
                <w:rFonts w:ascii="Georgia" w:cs="Georgia" w:eastAsia="Georgia" w:hAnsi="Georgia"/>
                <w:color w:val="111111"/>
                <w:sz w:val="21"/>
                <w:szCs w:val="21"/>
              </w:rPr>
              <w:t xml:space="preserve">Cuando una investigación involucra al Presidente de la República, el proceso no puede ser autorizado ni bloqueado por una sola institución. Un tribunal de cinco miembros decide: el Presidente de la Corte Nacional, el Defensor del Pueblo, el presidente del comité internacional de veeduría del SNIP, un delegado ciudadano sorteado y el director del SNIP. Los cinco deben coincidir para autorizar. Ninguno solo puede detenerla. Modelo expandido del mecanismo CPIB-Presidente de Singapur adaptado a la realidad ecuatoriana.</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CANDADO CONSTITUCIONAL DE AUTONOMÍA</w:t>
            </w:r>
          </w:p>
          <w:p>
            <w:pPr>
              <w:spacing w:after="0" w:before="0"/>
            </w:pPr>
            <w:r>
              <w:rPr>
                <w:rFonts w:ascii="Georgia" w:cs="Georgia" w:eastAsia="Georgia" w:hAnsi="Georgia"/>
                <w:color w:val="111111"/>
                <w:sz w:val="21"/>
                <w:szCs w:val="21"/>
              </w:rPr>
              <w:t xml:space="preserve">La Ley Orgánica del SNIP requiere para su modificación tres condiciones simultáneas e independientes: mayoría calificada (101 votos) de la Asamblea Nacional, más referéndum ciudadano con mayoría del 50%+1 de votos válidos, más dictamen vinculante favorable de la Corte Constitucional. Ninguna condición sola ni dos de las tres son suficientes. Las tres deben concurrir al mismo tiempo. Si la independencia judicial está comprometida en un momento dado, las otras dos condiciones siguen siendo necesarias y la notificación automática a organismos internacionales genera presión adicional — pero esa notificación es complementaria al candado, nunca sustituta. MODELO: ICAC de Hong Kong + CPIB de Singapur.</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CANDADO PRESUPUESTARIO</w:t>
            </w:r>
          </w:p>
          <w:p>
            <w:pPr>
              <w:spacing w:after="0" w:before="0"/>
            </w:pPr>
            <w:r>
              <w:rPr>
                <w:rFonts w:ascii="Georgia" w:cs="Georgia" w:eastAsia="Georgia" w:hAnsi="Georgia"/>
                <w:color w:val="111111"/>
                <w:sz w:val="21"/>
                <w:szCs w:val="21"/>
              </w:rPr>
              <w:t xml:space="preserve">El presupuesto del SNIP debe estar definido en la Constitución como porcentaje fijo del PGE (propuesta: 0.3%). No puede ser reducido por decisión del Ejecutivo ni por mayoría simple de la Asamblea. En caso de reducción forzada por crisis fiscal, aplica automáticamente el mismo porcentaje de reducción que en el presupuesto presidencial. El SNIP no puede recibir fondos condicionados de ningún organismo del Estado que investigue. MODELO: Protección presupuestaria del CPIB de Singapur.</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CANDADO DE DESIGNACIÓN</w:t>
            </w:r>
          </w:p>
          <w:p>
            <w:pPr>
              <w:spacing w:after="0" w:before="0"/>
            </w:pPr>
            <w:r>
              <w:rPr>
                <w:rFonts w:ascii="Georgia" w:cs="Georgia" w:eastAsia="Georgia" w:hAnsi="Georgia"/>
                <w:color w:val="111111"/>
                <w:sz w:val="21"/>
                <w:szCs w:val="21"/>
              </w:rPr>
              <w:t xml:space="preserve">Los siete miembros del Directorio del SNIP se seleccionan por sorteo ciudadano verificado entre candidatos que cumplan requisitos técnicos mínimos (definidos en la ley). Ningún funcionario público activo, ningún militante de partido político con menos de 5 años de inactividad, ningún familiar hasta tercer grado de consanguinidad de funcionario bajo investigación del SNIP puede ser seleccionado. El proceso de sorteo es transmitido en vivo y auditado por tres organismos internacionales independientes.</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CANDADO DE CONTINUIDAD TECNOLÓGICA</w:t>
            </w:r>
          </w:p>
          <w:p>
            <w:pPr>
              <w:spacing w:after="0" w:before="0"/>
            </w:pPr>
            <w:r>
              <w:rPr>
                <w:rFonts w:ascii="Georgia" w:cs="Georgia" w:eastAsia="Georgia" w:hAnsi="Georgia"/>
                <w:color w:val="111111"/>
                <w:sz w:val="21"/>
                <w:szCs w:val="21"/>
              </w:rPr>
              <w:t xml:space="preserve">El código fuente del SNIP es de acceso público (open source) auditado. Ningún cambio mayor al sistema puede implementarse sin validación de al menos 10 organizaciones técnicas independientes seleccionadas aleatoriamente. Existe una copia completa del sistema en infraestructura internacional fuera de Ecuador. En caso de ataque o desmantelamiento, el sistema puede ser restaurado desde servidores externos. MODELO: Infraestructura distribuida de Estonia.</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MECANISMO ESCALONADO DE SANCIONES POR INACCIÓN INSTITUCIONAL</w:t>
            </w:r>
          </w:p>
          <w:p>
            <w:pPr>
              <w:spacing w:after="0" w:before="0"/>
            </w:pPr>
            <w:r>
              <w:rPr>
                <w:rFonts w:ascii="Georgia" w:cs="Georgia" w:eastAsia="Georgia" w:hAnsi="Georgia"/>
                <w:color w:val="111111"/>
                <w:sz w:val="21"/>
                <w:szCs w:val="21"/>
              </w:rPr>
              <w:t xml:space="preserve">Nivel 1: Si la Fiscalía o Contraloría no responde una alerta del SNIP en el plazo legal, el portal ciudadano publica automáticamente qué alerta está sin respuesta, desde cuándo y qué funcionario es responsable. Nivel 2: Si la inacción persiste 30 días adicionales, se congela el 5% mensual del presupuesto discrecional del organismo — no del total — hasta que actúe. Al actuar, el monto congelado se libera automáticamente. Nivel 3: Si hay indicios de inacción dolosa, el SNIP activa investigación de omisión con fiscal especial sorteado de otra provincia, excluyendo al fiscal ordinario por conflicto de interés.</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CANDADO DE DENUNCIAS INTERNACIONALES</w:t>
            </w:r>
          </w:p>
          <w:p>
            <w:pPr>
              <w:spacing w:after="0" w:before="0"/>
            </w:pPr>
            <w:r>
              <w:rPr>
                <w:rFonts w:ascii="Georgia" w:cs="Georgia" w:eastAsia="Georgia" w:hAnsi="Georgia"/>
                <w:color w:val="111111"/>
                <w:sz w:val="21"/>
                <w:szCs w:val="21"/>
              </w:rPr>
              <w:t xml:space="preserve">El SNIP establece un protocolo de notificación automática a organismos internacionales (UNODC, OEA-MESICIC, Contraloría de UNASUR) cuando detecte intentos de desmantelamiento, modificaciones no autorizadas al sistema o reducción presupuestaria por debajo del umbral constitucional. Ecuador no puede presionar a esos organismos internacionales sin activar una crisis diplomática. MODELO: Mecanismo de alerta temprana del ICAC.</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space="0"/>
              <w:left w:val="none" w:color="FFFFFF" w:sz="0" w:space="0"/>
              <w:bottom w:val="none" w:color="FFFFFF" w:sz="0" w:space="0"/>
              <w:right w:val="none" w:color="FFFFFF" w:sz="0" w:space="0"/>
            </w:tcBorders>
            <w:shd w:fill="B8860B" w:val="clear"/>
            <w:tcMar>
              <w:top w:type="dxa" w:w="120"/>
              <w:left w:type="dxa" w:w="120"/>
              <w:bottom w:type="dxa" w:w="120"/>
              <w:right w:type="dxa" w:w="0"/>
            </w:tcMar>
          </w:tcPr>
          <w:p>
            <w:pPr>
              <w:spacing w:after="0" w:before="0"/>
              <w:jc w:val="center"/>
            </w:pPr>
            <w:r>
              <w:rPr>
                <w:rFonts w:ascii="Segoe UI Emoji" w:cs="Segoe UI Emoji" w:eastAsia="Segoe UI Emoji" w:hAnsi="Segoe UI Emoji"/>
                <w:sz w:val="32"/>
                <w:szCs w:val="32"/>
              </w:rPr>
              <w:t xml:space="preserve">🔒</w:t>
            </w:r>
          </w:p>
        </w:tc>
        <w:tc>
          <w:tcPr>
            <w:tcW w:type="dxa" w:w="8860"/>
            <w:tcBorders>
              <w:top w:val="single" w:color="B8860B" w:sz="8" w:space="0"/>
              <w:left w:val="none" w:color="FFFFFF" w:sz="0" w:space="0"/>
              <w:bottom w:val="single" w:color="B8860B" w:sz="8" w:space="0"/>
              <w:right w:val="single" w:color="B8860B" w:sz="8" w:space="0"/>
            </w:tcBorders>
            <w:shd w:fill="FEF9E7"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CANDADO LEGAL — CANDADO DE IMPRESCRIPTIBILIDAD PROCESAL</w:t>
            </w:r>
          </w:p>
          <w:p>
            <w:pPr>
              <w:spacing w:after="0" w:before="0"/>
            </w:pPr>
            <w:r>
              <w:rPr>
                <w:rFonts w:ascii="Georgia" w:cs="Georgia" w:eastAsia="Georgia" w:hAnsi="Georgia"/>
                <w:color w:val="111111"/>
                <w:sz w:val="21"/>
                <w:szCs w:val="21"/>
              </w:rPr>
              <w:t xml:space="preserve">Todo acto que busque obstaculizar, manipular o desmantelar el SNIP es tipificado como delito autónomo imprescriptible. Esto incluye: intentar designar directores sin seguir el proceso de sorteo, reducir el presupuesto por debajo del umbral constitucional, modificar el código fuente del sistema sin el proceso de validación independiente, y cualquier forma de represalia contra funcionarios del SNIP en ejercicio de sus funciones.</w:t>
            </w:r>
          </w:p>
        </w:tc>
      </w:tr>
    </w:tbl>
    <w:p>
      <w:pPr>
        <w:spacing w:after="120" w:before="0"/>
      </w:pPr>
      <w:r>
        <w:rPr>
          <w:sz w:val="20"/>
          <w:szCs w:val="20"/>
        </w:rPr>
        <w:t xml:space="preserve"/>
      </w:r>
    </w:p>
    <w:p>
      <w:pPr>
        <w:spacing w:after="12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CÓMO ESTOS PAÍSES MANTUVIERON SUS SISTEMAS A LO LARGO DEL TIEMPO</w:t>
      </w:r>
    </w:p>
    <w:p>
      <w:pPr>
        <w:spacing w:after="120" w:before="0"/>
      </w:pPr>
      <w:r>
        <w:rPr>
          <w:sz w:val="20"/>
          <w:szCs w:val="20"/>
        </w:rPr>
        <w:t xml:space="preserve"/>
      </w:r>
    </w:p>
    <w:p>
      <w:pPr>
        <w:spacing w:after="100" w:before="80"/>
      </w:pPr>
      <w:r>
        <w:rPr>
          <w:rFonts w:ascii="Georgia" w:cs="Georgia" w:eastAsia="Georgia" w:hAnsi="Georgia"/>
          <w:sz w:val="22"/>
          <w:szCs w:val="22"/>
        </w:rPr>
        <w:t xml:space="preserve">La pregunta más importante no es cómo construyeron el sistema. Es cómo sobrevivió durante décadas, gobiernos distintos, crisis económicas y cambios culturales. Estos son los patrones comunes:</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MECANISMO DE PERMANENCIA</w:t>
            </w:r>
          </w:p>
        </w:tc>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SINGAPUR</w:t>
            </w:r>
          </w:p>
        </w:tc>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HONG KONG</w:t>
            </w:r>
          </w:p>
        </w:tc>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NUEVA ZELANDA</w:t>
            </w:r>
          </w:p>
        </w:tc>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DINAMARCA</w:t>
            </w:r>
          </w:p>
        </w:tc>
        <w:tc>
          <w:tcPr>
            <w:tcW w:type="dxa" w:w="15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APLICACIÓN PARA ECUADOR</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Victoria temprana visible</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Ministros propios procesados en los primeros años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Policías de alto rango procesados públicamente en 1974</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Reforma del servicio civil con resultados medibles en 2 años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Transparencia presupuestaria desde los años 70</w:t>
            </w:r>
          </w:p>
        </w:tc>
        <w:tc>
          <w:tcPr>
            <w:tcW w:type="dxa" w:w="1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SNIP debe demostrar resultados visibles en los primeros 18 meses del piloto. Un caso emblemático confirmado cambia la percepción pública.</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Salarios dignos que eliminan incentivo económico</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Funcionarios mejor pagados del mundo en términos reales</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Salarios competitivos con el sector privado para funcionarios de control</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Salarios del sector público atractivos y estables</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Salarios públicos competitivos con el privado</w:t>
            </w:r>
          </w:p>
        </w:tc>
        <w:tc>
          <w:tcPr>
            <w:tcW w:type="dxa" w:w="1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Ecuador debe incluir en la ley del SNIP una escala salarial protegida para sus funcionarios, aislada de congelaciones generales.</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Métricas públicas anuales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Reporte anual del CPIB: casos, condenas, bienes confiscados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Reporte anual del ICAC con métricas de las tres áreas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Informe anual del Ombudsman + encuesta de percepción</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Indicadores de confianza institucional en el presupuesto nacional</w:t>
            </w:r>
          </w:p>
        </w:tc>
        <w:tc>
          <w:tcPr>
            <w:tcW w:type="dxa" w:w="1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 SNIP debe publicar anualmente: casos detectados, alertas generadas, resoluciones obtenidas y bienes recuperados por el Estado.</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Educación ciudadana continua</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Programas de integridad desde educación básica</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Departamento de Relaciones Comunitarias con presencia escolar</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Educación cívica con énfasis en rendición de cuentas</w:t>
            </w:r>
          </w:p>
        </w:tc>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Cultura de confianza construida desde la escuela</w:t>
            </w:r>
          </w:p>
        </w:tc>
        <w:tc>
          <w:tcPr>
            <w:tcW w:type="dxa" w:w="1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El SNIP debe tener un módulo educativo que capacite anualmente a estudiantes de secundaria y funcionarios nuevos.</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Vínculos internacionales irrompibles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Miembro activo del GRECO, OCDE y redes anticorrupción Asia-Pacífico</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Referente global copiado por 40+ países</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Tratados internacionales con jerarquía supranacional</w:t>
            </w:r>
          </w:p>
        </w:tc>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GRECO + Convenios europeos vinculantes</w:t>
            </w:r>
          </w:p>
        </w:tc>
        <w:tc>
          <w:tcPr>
            <w:tcW w:type="dxa" w:w="1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Ecuador debe ratificar todos los instrumentos disponibles: UNCAC, MESICIC-OEA, Convenio Iberoamericano de Integridad. Los tratados son candados externos.</w:t>
            </w:r>
          </w:p>
        </w:tc>
      </w:tr>
    </w:tbl>
    <w:p>
      <w:pPr>
        <w:spacing w:after="120" w:before="0"/>
      </w:pPr>
      <w:r>
        <w:rPr>
          <w:sz w:val="20"/>
          <w:szCs w:val="20"/>
        </w:rPr>
        <w:t xml:space="preserve"/>
      </w:r>
    </w:p>
    <w:p>
      <w:pPr>
        <w:spacing w:after="12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HOJA DE RUTA LEGAL: ORDEN DE IMPLEMENTACIÓN</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La secuencia importa. No se puede crear el SNIP antes de tener la ley que lo habilita. No se puede reformar la carga de la prueba antes de fortalecer la independencia fiscal. Cada reforma es condición de la siguiente.</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space="0"/>
              <w:left w:val="single" w:color="BBBBBB" w:sz="4" w:space="0"/>
              <w:bottom w:val="single" w:color="BBBBBB" w:sz="4" w:space="0"/>
              <w:right w:val="single" w:color="BBBBBB" w:sz="4" w:space="0"/>
            </w:tcBorders>
            <w:shd w:fill="0D1F3C"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FASE / AÑO</w:t>
            </w:r>
          </w:p>
        </w:tc>
        <w:tc>
          <w:tcPr>
            <w:tcW w:type="dxa" w:w="6760"/>
            <w:tcBorders>
              <w:top w:val="single" w:color="BBBBBB" w:sz="4" w:space="0"/>
              <w:left w:val="single" w:color="BBBBBB" w:sz="4" w:space="0"/>
              <w:bottom w:val="single" w:color="BBBBBB" w:sz="4" w:space="0"/>
              <w:right w:val="single" w:color="BBBBBB" w:sz="4" w:space="0"/>
            </w:tcBorders>
            <w:shd w:fill="0D1F3C" w:val="clear"/>
            <w:tcMar>
              <w:top w:type="dxa" w:w="100"/>
              <w:left w:type="dxa" w:w="140"/>
              <w:bottom w:type="dxa" w:w="100"/>
              <w:right w:type="dxa" w:w="140"/>
            </w:tcMar>
          </w:tcPr>
          <w:p>
            <w:pPr>
              <w:spacing w:after="0" w:before="0"/>
            </w:pPr>
            <w:r>
              <w:rPr>
                <w:rFonts w:ascii="Georgia" w:cs="Georgia" w:eastAsia="Georgia" w:hAnsi="Georgia"/>
                <w:color w:val="FFFFFF"/>
                <w:sz w:val="20"/>
                <w:szCs w:val="20"/>
              </w:rPr>
              <w:t xml:space="preserve">REFORMAS Y BASES REQUERIDAS</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Fase 0 — Prerrequisitos (Años 0–1)</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ANTES de cualquier reforma legal se necesita: opinión pública informada que demande el cambio (50k+ personas que entiendan el SNIP), diagnóstico técnico-jurídico financiado por cooperación internacional (BID/PNUD/UNODC), alianza multipartidaria mínima en la Asamblea, consulta a Corte Constitucional sobre constitucionalidad de cada reforma propuesta.</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Fase 1 — Arquitectura base (Año 1)</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[1] Ley Orgánica de Creación del SNIP. [2] Reforma LOTAIP con mecanismo sancionador. [3] Ley de Declaración Digital de Patrimonio. Estas tres reformas se presentan como paquete único para evitar que alguna muera en comisión mientras las otras avanzan.</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Fase 2 — Blindaje legal (Año 2)</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[4] Reforma COIP — inversión de carga de prueba enriquecimiento ilícito. [5] Ley Whistleblower de protección al denunciante. [6] Reforma LOSNCP — eliminación regímenes de excepción. El orden garantiza que el SNIP ya esté operando antes de reformar el COIP.</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Fase 3 — Consolidación (Años 3–4)</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[7] Reforma constitucional — autonomía presupuestaria organismos de control. [8] Ley de Financiamiento Político Transparente. Estas requieren mayor apoyo político y tiempo de debate.</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Fase 4 — Blindaje permanente (Años 4–8)</w:t>
            </w:r>
          </w:p>
        </w:tc>
        <w:tc>
          <w:tcPr>
            <w:tcW w:type="dxa" w:w="6760"/>
            <w:tcBorders>
              <w:top w:val="single" w:color="BBBBBB" w:sz="4" w:space="0"/>
              <w:left w:val="single" w:color="BBBBBB" w:sz="4" w:space="0"/>
              <w:bottom w:val="single" w:color="BBBBBB" w:sz="4" w:space="0"/>
              <w:right w:val="single" w:color="BBBBBB" w:sz="4" w:space="0"/>
            </w:tcBorders>
            <w:shd w:fill="F4F5F7"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[9] Estatuto del Servicio Civil Independiente. [10] Ley de Interoperabilidad del Estado. [11] Reforma al sistema judicial anticorrupción. Estas son las reformas más estructurales y de mayor resistencia política.</w:t>
            </w:r>
          </w:p>
        </w:tc>
      </w:tr>
      <w:tr>
        <w:tc>
          <w:tcPr>
            <w:tcW w:type="dxa" w:w="2600"/>
            <w:tcBorders>
              <w:top w:val="single" w:color="BBBBBB" w:sz="4" w:space="0"/>
              <w:left w:val="single" w:color="BBBBBB" w:sz="4" w:space="0"/>
              <w:bottom w:val="single" w:color="BBBBBB" w:sz="4" w:space="0"/>
              <w:right w:val="single" w:color="BBBBBB" w:sz="4" w:space="0"/>
            </w:tcBorders>
            <w:shd w:fill="D6E4F7" w:val="clear"/>
            <w:tcMar>
              <w:top w:type="dxa" w:w="100"/>
              <w:left w:type="dxa" w:w="140"/>
              <w:bottom w:type="dxa" w:w="100"/>
              <w:right w:type="dxa" w:w="140"/>
            </w:tcMar>
          </w:tcPr>
          <w:p>
            <w:pPr>
              <w:spacing w:after="0" w:before="0"/>
            </w:pPr>
            <w:r>
              <w:rPr>
                <w:rFonts w:ascii="Arial" w:cs="Arial" w:eastAsia="Arial" w:hAnsi="Arial"/>
                <w:b/>
                <w:bCs/>
                <w:color w:val="0D1F3C"/>
                <w:sz w:val="20"/>
                <w:szCs w:val="20"/>
              </w:rPr>
              <w:t xml:space="preserve">Condición transversal</w:t>
            </w:r>
          </w:p>
        </w:tc>
        <w:tc>
          <w:tcPr>
            <w:tcW w:type="dxa" w:w="6760"/>
            <w:tcBorders>
              <w:top w:val="single" w:color="BBBBBB" w:sz="4" w:space="0"/>
              <w:left w:val="single" w:color="BBBBBB" w:sz="4" w:space="0"/>
              <w:bottom w:val="single" w:color="BBBBBB" w:sz="4" w:space="0"/>
              <w:right w:val="single" w:color="BBBBBB" w:sz="4" w:space="0"/>
            </w:tcBorders>
            <w:shd w:fill="FFFFFF" w:val="clear"/>
            <w:tcMar>
              <w:top w:type="dxa" w:w="100"/>
              <w:left w:type="dxa" w:w="140"/>
              <w:bottom w:type="dxa" w:w="100"/>
              <w:right w:type="dxa" w:w="140"/>
            </w:tcMar>
          </w:tcPr>
          <w:p>
            <w:pPr>
              <w:spacing w:after="0" w:before="0"/>
            </w:pPr>
            <w:r>
              <w:rPr>
                <w:rFonts w:ascii="Georgia" w:cs="Georgia" w:eastAsia="Georgia" w:hAnsi="Georgia"/>
                <w:color w:val="111111"/>
                <w:sz w:val="20"/>
                <w:szCs w:val="20"/>
              </w:rPr>
              <w:t xml:space="preserve">En cada fase debe existir veeduría ciudadana activa, auditoría internacional independiente del proceso legislativo y publicación en tiempo real de cada avance o bloqueo en el portal del SNIP. La transparencia del proceso de reforma es tan importante como el contenido de las reformas.</w:t>
            </w:r>
          </w:p>
        </w:tc>
      </w:tr>
    </w:tbl>
    <w:p>
      <w:pPr>
        <w:spacing w:after="120" w:before="0"/>
      </w:pPr>
      <w:r>
        <w:rPr>
          <w:sz w:val="20"/>
          <w:szCs w:val="20"/>
        </w:rPr>
        <w:t xml:space="preserve"/>
      </w:r>
    </w:p>
    <w:p>
      <w:pPr>
        <w:spacing w:after="12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CONCLUSIÓN: LO QUE ESTE DOCUMENTO LE DICE A ECUADOR</w:t>
      </w:r>
    </w:p>
    <w:p>
      <w:pPr>
        <w:spacing w:after="120" w:before="0"/>
      </w:pPr>
      <w:r>
        <w:rPr>
          <w:sz w:val="20"/>
          <w:szCs w:val="20"/>
        </w:rPr>
        <w:t xml:space="preserve"/>
      </w:r>
    </w:p>
    <w:p>
      <w:pPr>
        <w:spacing w:after="100" w:before="80"/>
      </w:pPr>
      <w:r>
        <w:rPr>
          <w:rFonts w:ascii="Georgia" w:cs="Georgia" w:eastAsia="Georgia" w:hAnsi="Georgia"/>
          <w:sz w:val="22"/>
          <w:szCs w:val="22"/>
        </w:rPr>
        <w:t xml:space="preserve">Singapur no fue siempre el país con 84 puntos en el CPI. En 1959 era profundamente corrupto. Hong Kong en 1973 era la ciudad más corrupta de Asia. Dinamarca construyó su modelo durante décadas sin un gran escándalo catalizador. Nueva Zelanda lo hizo con planificación fría y voluntad sostenida.</w:t>
      </w:r>
    </w:p>
    <w:p>
      <w:pPr>
        <w:spacing w:after="100" w:before="80"/>
      </w:pPr>
      <w:r>
        <w:rPr>
          <w:rFonts w:ascii="Georgia" w:cs="Georgia" w:eastAsia="Georgia" w:hAnsi="Georgia"/>
          <w:sz w:val="22"/>
          <w:szCs w:val="22"/>
        </w:rPr>
        <w:t xml:space="preserve">Los cuatro demuestran la misma cosa desde ángulos distintos: la corrupción no es una característica cultural permanente. Es el resultado de un diseño institucional deficiente. Y el diseño institucional puede cambiarse.</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Ecuador tiene hoy lo que ninguno de esos cuatro países tenía al inicio: el mapa completo de qué funciona, qué falla y en qué orden hay que hacer las cosas. Esa ventaja no durará para siempre. Las ventanas de reforma son cortas. Se abren con crisis y se cierran con inercia.</w:t>
            </w:r>
          </w:p>
        </w:tc>
      </w:tr>
    </w:tbl>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000"/>
        <w:gridCol w:w="2560"/>
      </w:tblGrid>
      <w:tr>
        <w:tc>
          <w:tcPr>
            <w:tcW w:type="dxa" w:w="14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PAÍS</w:t>
            </w:r>
          </w:p>
        </w:tc>
        <w:tc>
          <w:tcPr>
            <w:tcW w:type="dxa" w:w="16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AÑO INICIO REFORMA</w:t>
            </w:r>
          </w:p>
        </w:tc>
        <w:tc>
          <w:tcPr>
            <w:tcW w:type="dxa" w:w="1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AÑOS HASTA ESTABILIDAD</w:t>
            </w:r>
          </w:p>
        </w:tc>
        <w:tc>
          <w:tcPr>
            <w:tcW w:type="dxa" w:w="2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PUNTOS GANADOS EN CPI</w:t>
            </w:r>
          </w:p>
        </w:tc>
        <w:tc>
          <w:tcPr>
            <w:tcW w:type="dxa" w:w="25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CLAVE DEL ÉXITO</w:t>
            </w:r>
          </w:p>
        </w:tc>
      </w:tr>
      <w:tr>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Singapur</w:t>
            </w:r>
          </w:p>
        </w:tc>
        <w:tc>
          <w:tcPr>
            <w:tcW w:type="dxa" w:w="1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1960</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~15 años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De ~25 a 84 (+59)</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Voluntad política que atacó primero a los poderosos</w:t>
            </w:r>
          </w:p>
        </w:tc>
      </w:tr>
      <w:tr>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Hong Kong</w:t>
            </w:r>
          </w:p>
        </w:tc>
        <w:tc>
          <w:tcPr>
            <w:tcW w:type="dxa" w:w="16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1974</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~10 años</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De ~40 a 76 (+36)</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ICAC con los tres pilares: detección, prevención, cultura</w:t>
            </w:r>
          </w:p>
        </w:tc>
      </w:tr>
      <w:tr>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Nueva Zelanda</w:t>
            </w:r>
          </w:p>
        </w:tc>
        <w:tc>
          <w:tcPr>
            <w:tcW w:type="dxa" w:w="1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1988</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~8 años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De ~75 a 88 (+13)</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Reforma estructural del Estado + ley de información</w:t>
            </w:r>
          </w:p>
        </w:tc>
      </w:tr>
      <w:tr>
        <w:tc>
          <w:tcPr>
            <w:tcW w:type="dxa" w:w="14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Dinamarca</w:t>
            </w:r>
          </w:p>
        </w:tc>
        <w:tc>
          <w:tcPr>
            <w:tcW w:type="dxa" w:w="16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1970s</w:t>
            </w:r>
          </w:p>
        </w:tc>
        <w:tc>
          <w:tcPr>
            <w:tcW w:type="dxa" w:w="1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~20 años</w:t>
            </w:r>
          </w:p>
        </w:tc>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De ~70 a 90 (+20)</w:t>
            </w:r>
          </w:p>
        </w:tc>
        <w:tc>
          <w:tcPr>
            <w:tcW w:type="dxa" w:w="25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Confianza social construida como política pública</w:t>
            </w:r>
          </w:p>
        </w:tc>
      </w:tr>
      <w:tr>
        <w:tc>
          <w:tcPr>
            <w:tcW w:type="dxa" w:w="14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Ecuador — Meta</w:t>
            </w:r>
          </w:p>
        </w:tc>
        <w:tc>
          <w:tcPr>
            <w:tcW w:type="dxa" w:w="16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2025</w:t>
            </w:r>
          </w:p>
        </w:tc>
        <w:tc>
          <w:tcPr>
            <w:tcW w:type="dxa" w:w="1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8–12 años realistas</w:t>
            </w:r>
          </w:p>
        </w:tc>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De 32 a 55+ (meta)</w:t>
            </w:r>
          </w:p>
        </w:tc>
        <w:tc>
          <w:tcPr>
            <w:tcW w:type="dxa" w:w="25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SNIP + reformas legales + opinión pública organizada</w:t>
            </w:r>
          </w:p>
        </w:tc>
      </w:tr>
    </w:tbl>
    <w:p>
      <w:pPr>
        <w:spacing w:after="120" w:before="0"/>
      </w:pPr>
      <w:r>
        <w:rPr>
          <w:sz w:val="20"/>
          <w:szCs w:val="20"/>
        </w:rPr>
        <w:t xml:space="preserve"/>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La diferencia entre los países del puesto 1 y el puesto 121 no es el dinero, no es la geografía y no es la historia. Es si en algún momento alguien tuvo la voluntad de construir un sistema que funcionara aunque ya no estuviera. Esa es la pregunta para Ecuador.</w:t>
            </w:r>
          </w:p>
        </w:tc>
      </w:tr>
    </w:tbl>
    <w:p>
      <w:pPr>
        <w:spacing w:after="120" w:before="0"/>
      </w:pPr>
      <w:r>
        <w:rPr>
          <w:sz w:val="20"/>
          <w:szCs w:val="20"/>
        </w:rPr>
        <w:t xml:space="preserve"/>
      </w:r>
    </w:p>
    <w:p>
      <w:pPr>
        <w:spacing w:after="0" w:before="200"/>
        <w:jc w:val="center"/>
      </w:pPr>
      <w:r>
        <w:rPr>
          <w:rFonts w:ascii="Georgia" w:cs="Georgia" w:eastAsia="Georgia" w:hAnsi="Georgia"/>
          <w:i/>
          <w:iCs/>
          <w:color w:val="888888"/>
          <w:sz w:val="20"/>
          <w:szCs w:val="20"/>
        </w:rPr>
        <w:t xml:space="preserve">— Fin del documento —</w:t>
      </w:r>
    </w:p>
    <w:p>
      <w:pPr>
        <w:spacing w:after="12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aps/>
                <w:color w:val="999999"/>
                <w:sz w:val="15"/>
                <w:szCs w:val="15"/>
              </w:rPr>
              <w:t xml:space="preserve">FUENTES DE REFERENCIA</w:t>
            </w:r>
          </w:p>
          <w:p>
            <w:pPr>
              <w:spacing w:after="10" w:before="10"/>
            </w:pPr>
            <w:r>
              <w:rPr>
                <w:rFonts w:ascii="Arial" w:cs="Arial" w:eastAsia="Arial" w:hAnsi="Arial"/>
                <w:b/>
                <w:bCs/>
                <w:color w:val="555555"/>
                <w:sz w:val="15"/>
                <w:szCs w:val="15"/>
              </w:rPr>
              <w:t xml:space="preserve">[1] Transparency International — CPI 2024 completo: </w:t>
            </w:r>
            <w:r>
              <w:rPr>
                <w:rFonts w:ascii="Arial" w:cs="Arial" w:eastAsia="Arial" w:hAnsi="Arial"/>
                <w:color w:val="1155CC"/>
                <w:sz w:val="15"/>
                <w:szCs w:val="15"/>
              </w:rPr>
              <w:t xml:space="preserve">https://www.transparency.org/en/cpi/2024</w:t>
            </w:r>
          </w:p>
          <w:p>
            <w:pPr>
              <w:spacing w:after="10" w:before="10"/>
            </w:pPr>
            <w:r>
              <w:rPr>
                <w:rFonts w:ascii="Arial" w:cs="Arial" w:eastAsia="Arial" w:hAnsi="Arial"/>
                <w:b/>
                <w:bCs/>
                <w:color w:val="555555"/>
                <w:sz w:val="15"/>
                <w:szCs w:val="15"/>
              </w:rPr>
              <w:t xml:space="preserve">[2] UNODC — Convención de las Naciones Unidas contra la Corrupción (UNCAC): </w:t>
            </w:r>
            <w:r>
              <w:rPr>
                <w:rFonts w:ascii="Arial" w:cs="Arial" w:eastAsia="Arial" w:hAnsi="Arial"/>
                <w:color w:val="1155CC"/>
                <w:sz w:val="15"/>
                <w:szCs w:val="15"/>
              </w:rPr>
              <w:t xml:space="preserve">https://www.unodc.org/unodc/en/corruption/uncac.html</w:t>
            </w:r>
          </w:p>
          <w:p>
            <w:pPr>
              <w:spacing w:after="10" w:before="10"/>
            </w:pPr>
            <w:r>
              <w:rPr>
                <w:rFonts w:ascii="Arial" w:cs="Arial" w:eastAsia="Arial" w:hAnsi="Arial"/>
                <w:b/>
                <w:bCs/>
                <w:color w:val="555555"/>
                <w:sz w:val="15"/>
                <w:szCs w:val="15"/>
              </w:rPr>
              <w:t xml:space="preserve">[3] MESICIC-OEA — Mecanismo de Seguimiento de la Convención Interamericana contra la Corrupción: </w:t>
            </w:r>
            <w:r>
              <w:rPr>
                <w:rFonts w:ascii="Arial" w:cs="Arial" w:eastAsia="Arial" w:hAnsi="Arial"/>
                <w:color w:val="1155CC"/>
                <w:sz w:val="15"/>
                <w:szCs w:val="15"/>
              </w:rPr>
              <w:t xml:space="preserve">https://www.oas.org/juridico/spanish/mesicic_intro_sp.htm</w:t>
            </w:r>
          </w:p>
          <w:p>
            <w:pPr>
              <w:spacing w:after="10" w:before="10"/>
            </w:pPr>
            <w:r>
              <w:rPr>
                <w:rFonts w:ascii="Arial" w:cs="Arial" w:eastAsia="Arial" w:hAnsi="Arial"/>
                <w:b/>
                <w:bCs/>
                <w:color w:val="555555"/>
                <w:sz w:val="15"/>
                <w:szCs w:val="15"/>
              </w:rPr>
              <w:t xml:space="preserve">[4] GRECO — Grupo de Estados contra la Corrupción (Consejo de Europa): </w:t>
            </w:r>
            <w:r>
              <w:rPr>
                <w:rFonts w:ascii="Arial" w:cs="Arial" w:eastAsia="Arial" w:hAnsi="Arial"/>
                <w:color w:val="1155CC"/>
                <w:sz w:val="15"/>
                <w:szCs w:val="15"/>
              </w:rPr>
              <w:t xml:space="preserve">https://www.coe.int/en/web/greco</w:t>
            </w:r>
          </w:p>
          <w:p>
            <w:pPr>
              <w:spacing w:after="10" w:before="10"/>
            </w:pPr>
            <w:r>
              <w:rPr>
                <w:rFonts w:ascii="Arial" w:cs="Arial" w:eastAsia="Arial" w:hAnsi="Arial"/>
                <w:b/>
                <w:bCs/>
                <w:color w:val="555555"/>
                <w:sz w:val="15"/>
                <w:szCs w:val="15"/>
              </w:rPr>
              <w:t xml:space="preserve">[5] BID — Programa de integridad institucional en América Latina: </w:t>
            </w:r>
            <w:r>
              <w:rPr>
                <w:rFonts w:ascii="Arial" w:cs="Arial" w:eastAsia="Arial" w:hAnsi="Arial"/>
                <w:color w:val="1155CC"/>
                <w:sz w:val="15"/>
                <w:szCs w:val="15"/>
              </w:rPr>
              <w:t xml:space="preserve">https://www.iadb.org/es/mejorando-vidas/integridad</w:t>
            </w:r>
          </w:p>
          <w:p>
            <w:pPr>
              <w:spacing w:after="10" w:before="10"/>
            </w:pPr>
            <w:r>
              <w:rPr>
                <w:rFonts w:ascii="Arial" w:cs="Arial" w:eastAsia="Arial" w:hAnsi="Arial"/>
                <w:b/>
                <w:bCs/>
                <w:color w:val="555555"/>
                <w:sz w:val="15"/>
                <w:szCs w:val="15"/>
              </w:rPr>
              <w:t xml:space="preserve">[6] Registro Oficial Ecuador — Constitución 2008 con reformas: </w:t>
            </w:r>
            <w:r>
              <w:rPr>
                <w:rFonts w:ascii="Arial" w:cs="Arial" w:eastAsia="Arial" w:hAnsi="Arial"/>
                <w:color w:val="1155CC"/>
                <w:sz w:val="15"/>
                <w:szCs w:val="15"/>
              </w:rPr>
              <w:t xml:space="preserve">https://www.registroficial.gob.ec</w:t>
            </w:r>
          </w:p>
          <w:p>
            <w:pPr>
              <w:spacing w:after="10" w:before="10"/>
            </w:pPr>
            <w:r>
              <w:rPr>
                <w:rFonts w:ascii="Arial" w:cs="Arial" w:eastAsia="Arial" w:hAnsi="Arial"/>
                <w:b/>
                <w:bCs/>
                <w:color w:val="555555"/>
                <w:sz w:val="15"/>
                <w:szCs w:val="15"/>
              </w:rPr>
              <w:t xml:space="preserve">[7] Ley Orgánica de Integridad Pública (LOIP) Ecuador 2025: </w:t>
            </w:r>
            <w:r>
              <w:rPr>
                <w:rFonts w:ascii="Arial" w:cs="Arial" w:eastAsia="Arial" w:hAnsi="Arial"/>
                <w:color w:val="1155CC"/>
                <w:sz w:val="15"/>
                <w:szCs w:val="15"/>
              </w:rPr>
              <w:t xml:space="preserve">https://www.cpccs.gob.ec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spacing w:after="160" w:before="0"/>
    </w:pPr>
    <w:r>
      <w:rPr>
        <w:rFonts w:ascii="Arial" w:cs="Arial" w:eastAsia="Arial" w:hAnsi="Arial"/>
        <w:color w:val="666666"/>
        <w:sz w:val="18"/>
        <w:szCs w:val="18"/>
      </w:rPr>
      <w:t xml:space="preserve">SNIP Ecuador — Arquitectura Legal e Institucional  |  Modelos de Tolerancia Cero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1F3C"/>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3A6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D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2026-03-15T05:24:43.791Z</dcterms:created>
  <dcterms:modified xsi:type="dcterms:W3CDTF">2026-03-15T05:24:43.793Z</dcterms:modified>
</cp:coreProperties>
</file>

<file path=docProps/custom.xml><?xml version="1.0" encoding="utf-8"?>
<Properties xmlns="http://schemas.openxmlformats.org/officeDocument/2006/custom-properties" xmlns:vt="http://schemas.openxmlformats.org/officeDocument/2006/docPropsVTypes"/>
</file>