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0D1F3C"/>
          <w:sz w:val="48"/>
          <w:szCs w:val="48"/>
        </w:rPr>
        <w:t xml:space="preserve">REFORMA DEL ECOSISTEMA INSTITUCIONAL</w:t>
      </w:r>
    </w:p>
    <w:p>
      <w:pPr>
        <w:spacing w:after="80" w:before="0"/>
        <w:jc w:val="center"/>
      </w:pPr>
      <w:r>
        <w:rPr>
          <w:rFonts w:ascii="Arial" w:cs="Arial" w:eastAsia="Arial" w:hAnsi="Arial"/>
          <w:b/>
          <w:bCs/>
          <w:color w:val="0D1F3C"/>
          <w:sz w:val="48"/>
          <w:szCs w:val="48"/>
        </w:rPr>
        <w:t xml:space="preserve">DE CONTROL DEL ESTADO ECUATORIANO</w:t>
      </w:r>
    </w:p>
    <w:p>
      <w:pPr>
        <w:spacing w:after="240" w:before="0"/>
        <w:jc w:val="center"/>
      </w:pPr>
      <w:r>
        <w:rPr>
          <w:rFonts w:ascii="Georgia" w:cs="Georgia" w:eastAsia="Georgia" w:hAnsi="Georgia"/>
          <w:i/>
          <w:iCs/>
          <w:color w:val="444444"/>
          <w:sz w:val="22"/>
          <w:szCs w:val="22"/>
        </w:rPr>
        <w:t xml:space="preserve">Desconcentración de poderes, independencia real de organismos de control y arquitectura de control cruzado sin punto único de falla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200"/>
              <w:left w:type="dxa" w:w="400"/>
              <w:bottom w:type="dxa" w:w="200"/>
              <w:right w:type="dxa" w:w="400"/>
            </w:tcMar>
          </w:tcPr>
          <w:p>
            <w:pPr>
              <w:spacing w:after="80" w:before="0"/>
              <w:jc w:val="center"/>
            </w:pPr>
            <w:r>
              <w:rPr>
                <w:rFonts w:ascii="Arial" w:cs="Arial" w:eastAsia="Arial" w:hAnsi="Arial"/>
                <w:b/>
                <w:bCs/>
                <w:color w:val="FFFFFF"/>
                <w:sz w:val="20"/>
                <w:szCs w:val="20"/>
              </w:rPr>
              <w:t xml:space="preserve">CORTE CONSTITUCIONAL  ·  CONSEJO DE LA JUDICATURA  ·  FISCALÍA  ·  CONTRALORÍA  ·  DEFENSORÍA</w:t>
            </w:r>
          </w:p>
          <w:p>
            <w:pPr>
              <w:spacing w:after="0" w:before="0"/>
              <w:jc w:val="center"/>
            </w:pPr>
            <w:r>
              <w:rPr>
                <w:rFonts w:ascii="Georgia" w:cs="Georgia" w:eastAsia="Georgia" w:hAnsi="Georgia"/>
                <w:i/>
                <w:iCs/>
                <w:color w:val="AABBD4"/>
                <w:sz w:val="20"/>
                <w:szCs w:val="20"/>
              </w:rPr>
              <w:t xml:space="preserve">Cinco organismos. Un solo problema: todos pueden ser capturados por quien llega al poder.</w:t>
            </w:r>
          </w:p>
        </w:tc>
      </w:tr>
    </w:tbl>
    <w:p>
      <w:pPr>
        <w:spacing w:after="140" w:before="0"/>
      </w:pPr>
      <w:r>
        <w:rPr>
          <w:sz w:val="20"/>
          <w:szCs w:val="20"/>
        </w:rPr>
        <w:t xml:space="preserve"/>
      </w:r>
    </w:p>
    <w:p>
      <w:pPr>
        <w:spacing w:after="0" w:before="0"/>
        <w:jc w:val="center"/>
      </w:pPr>
      <w:r>
        <w:rPr>
          <w:rFonts w:ascii="Arial" w:cs="Arial" w:eastAsia="Arial" w:hAnsi="Arial"/>
          <w:color w:val="888888"/>
          <w:sz w:val="18"/>
          <w:szCs w:val="18"/>
        </w:rPr>
        <w:t xml:space="preserve">Documento Técnico — Sistema SNIP  |  República del Ecuador  |  Marzo 2026</w:t>
      </w:r>
    </w:p>
    <w:p>
      <w:r>
        <w:br w:type="page"/>
      </w:r>
    </w:p>
    <w:p>
      <w:pPr>
        <w:pStyle w:val="Heading1"/>
        <w:spacing w:after="200" w:before="500"/>
      </w:pPr>
      <w:r>
        <w:rPr>
          <w:rFonts w:ascii="Arial" w:cs="Arial" w:eastAsia="Arial" w:hAnsi="Arial"/>
          <w:b/>
          <w:bCs/>
          <w:color w:val="0D1F3C"/>
          <w:sz w:val="40"/>
          <w:szCs w:val="40"/>
        </w:rPr>
        <w:t xml:space="preserve">INTRODUCCIÓN: EL PROBLEMA ESTRUCTURAL</w:t>
      </w:r>
    </w:p>
    <w:p>
      <w:pPr>
        <w:spacing w:after="160" w:before="0" w:line="340" w:lineRule="auto"/>
        <w:jc w:val="both"/>
      </w:pPr>
      <w:r>
        <w:rPr>
          <w:rFonts w:ascii="Georgia" w:cs="Georgia" w:eastAsia="Georgia" w:hAnsi="Georgia"/>
          <w:sz w:val="22"/>
          <w:szCs w:val="22"/>
        </w:rPr>
        <w:t xml:space="preserve">Ecuador tiene organismos de control formalmente independientes. Tiene una Corte Constitucional, un Consejo de la Judicatura, una Fiscalía General, una Contraloría y una Defensoría del Pueblo. Todos existen en la ley. Todos tienen mandatos de independencia. Y sin embargo todos han sido capturados políticamente en distintos momentos de la historia reciente del país.</w:t>
      </w:r>
    </w:p>
    <w:p>
      <w:pPr>
        <w:spacing w:after="160" w:before="0" w:line="340" w:lineRule="auto"/>
        <w:jc w:val="both"/>
      </w:pPr>
      <w:r>
        <w:rPr>
          <w:rFonts w:ascii="Georgia" w:cs="Georgia" w:eastAsia="Georgia" w:hAnsi="Georgia"/>
          <w:sz w:val="22"/>
          <w:szCs w:val="22"/>
        </w:rPr>
        <w:t xml:space="preserve">El problema no es la ausencia de organismos. Es que el diseño de su designación, financiamiento y control permite que quien llega al poder concentre la capacidad de influir sobre todos ellos. El patrón es siempre el mismo: el gobierno controla quién los dirige, quién los financia y quién los sanciona. Con esas tres palancas, la independencia formal se convierte en ficción operativa.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Este documento propone una arquitectura de control cruzado donde ningún actor político puede controlar más de una palanca del sistema simultáneamente. Si alguien controla la designación de los jueces, no puede controlar su presupuesto. Si controla el presupuesto, no puede controlar la remoción. Las palancas están distribuidas deliberadamente entre actores con orígenes e intereses distintos.</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El Principio Rector: Ningún Actor Controla Todo</w:t>
      </w:r>
    </w:p>
    <w:p>
      <w:pPr>
        <w:spacing w:after="160" w:before="0" w:line="340" w:lineRule="auto"/>
        <w:jc w:val="both"/>
      </w:pPr>
      <w:r>
        <w:rPr>
          <w:rFonts w:ascii="Georgia" w:cs="Georgia" w:eastAsia="Georgia" w:hAnsi="Georgia"/>
          <w:sz w:val="22"/>
          <w:szCs w:val="22"/>
        </w:rPr>
        <w:t xml:space="preserve">El diseño institucional que funciona no es el que depende de que los gobernantes sean honestos. Es el que hace técnicamente difícil, políticamente costoso y públicamente visible cualquier intento de concentrar el control. Ese principio guía cada propuesta de este documento.</w:t>
      </w:r>
    </w:p>
    <w:p>
      <w:pPr>
        <w:spacing w:after="160" w:before="0" w:line="340" w:lineRule="auto"/>
        <w:jc w:val="both"/>
      </w:pPr>
      <w:r>
        <w:rPr>
          <w:rFonts w:ascii="Georgia" w:cs="Georgia" w:eastAsia="Georgia" w:hAnsi="Georgia"/>
          <w:sz w:val="22"/>
          <w:szCs w:val="22"/>
        </w:rPr>
        <w:t xml:space="preserve">El modelo de referencia no es utópico. Estonia, Singapur, Hong Kong, Nueva Zelanda y Dinamarca lo aplican con variantes. Ninguno es perfecto. Todos son significativamente mejores que lo que Ecuador tiene hoy. Y todos empezaron exactamente donde Ecuador está: con organismos formalmente independientes pero operativamente capturados.</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DIAGNÓSTICO: CINCO ORGANISMOS, UN SOLO PATRÓN DE CAPTURA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F3C" w:sz="8" w:space="0"/>
              <w:left w:val="none" w:color="FFFFFF" w:sz="0" w:space="0"/>
              <w:bottom w:val="none" w:color="FFFFFF" w:sz="0" w:space="0"/>
              <w:right w:val="none" w:color="FFFFFF" w:sz="0" w:space="0"/>
            </w:tcBorders>
            <w:shd w:fill="0D1F3C"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CORTE CONSTITUCIONAL</w:t>
            </w:r>
          </w:p>
        </w:tc>
      </w:tr>
      <w:tr>
        <w:tc>
          <w:tcPr>
            <w:tcBorders>
              <w:top w:val="none" w:color="FFFFFF" w:sz="0" w:space="0"/>
              <w:left w:val="none" w:color="FFFFFF" w:sz="0" w:space="0"/>
              <w:bottom w:val="none" w:color="FFFFFF" w:sz="0" w:space="0"/>
              <w:right w:val="none" w:color="FFFFFF" w:sz="0" w:space="0"/>
            </w:tcBorders>
            <w:shd w:fill="F0F0F0" w:val="clear"/>
            <w:tcMar>
              <w:top w:type="dxa" w:w="80"/>
              <w:left w:type="dxa" w:w="160"/>
              <w:bottom w:type="dxa" w:w="20"/>
              <w:right w:type="dxa" w:w="160"/>
            </w:tcMar>
          </w:tcPr>
          <w:p>
            <w:pPr>
              <w:spacing w:after="0" w:before="0"/>
            </w:pPr>
            <w:r>
              <w:rPr>
                <w:rFonts w:ascii="Arial" w:cs="Arial" w:eastAsia="Arial" w:hAnsi="Arial"/>
                <w:b/>
                <w:bCs/>
                <w:color w:val="7B1111"/>
                <w:sz w:val="19"/>
                <w:szCs w:val="19"/>
              </w:rPr>
              <w:t xml:space="preserve">PROBLEMA ACTUAL:</w:t>
            </w:r>
          </w:p>
        </w:tc>
      </w:tr>
      <w:tr>
        <w:tc>
          <w:tcPr>
            <w:tcBorders>
              <w:top w:val="none" w:color="FFFFFF" w:sz="0" w:space="0"/>
              <w:left w:val="none" w:color="FFFFFF" w:sz="0" w:space="0"/>
              <w:bottom w:val="none" w:color="FFFFFF" w:sz="0" w:space="0"/>
              <w:right w:val="none" w:color="FFFFFF" w:sz="0" w:space="0"/>
            </w:tcBorders>
            <w:shd w:fill="F0F0F0" w:val="clear"/>
            <w:tcMar>
              <w:top w:type="dxa" w:w="0"/>
              <w:left w:type="dxa" w:w="160"/>
              <w:bottom w:type="dxa" w:w="80"/>
              <w:right w:type="dxa" w:w="160"/>
            </w:tcMar>
          </w:tcPr>
          <w:p>
            <w:pPr>
              <w:spacing w:after="0" w:before="0"/>
              <w:jc w:val="both"/>
            </w:pPr>
            <w:r>
              <w:rPr>
                <w:rFonts w:ascii="Georgia" w:cs="Georgia" w:eastAsia="Georgia" w:hAnsi="Georgia"/>
                <w:color w:val="111111"/>
                <w:sz w:val="20"/>
                <w:szCs w:val="20"/>
              </w:rPr>
              <w:t xml:space="preserve">Sus nueve magistrados son designados por una comisión calificadora integrada por delegados de las tres funciones del Estado. En la práctica, quien controla la mayoría en la Asamblea y el Ejecutivo controla indirectamente la composición de esa comisión. El resultado histórico: una Corte que en momentos críticos ha fallado alineada con el gobierno de turno.</w:t>
            </w:r>
          </w:p>
        </w:tc>
      </w:tr>
      <w:tr>
        <w:tc>
          <w:tcPr>
            <w:tcBorders>
              <w:top w:val="none" w:color="FFFFFF" w:sz="0" w:space="0"/>
              <w:left w:val="none" w:color="FFFFFF" w:sz="0" w:space="0"/>
              <w:bottom w:val="none" w:color="FFFFFF" w:sz="0" w:space="0"/>
              <w:right w:val="none" w:color="FFFFFF" w:sz="0" w:space="0"/>
            </w:tcBorders>
            <w:shd w:fill="FFFFFF" w:val="clear"/>
            <w:tcMar>
              <w:top w:type="dxa" w:w="80"/>
              <w:left w:type="dxa" w:w="160"/>
              <w:bottom w:type="dxa" w:w="20"/>
              <w:right w:type="dxa" w:w="160"/>
            </w:tcMar>
          </w:tcPr>
          <w:p>
            <w:pPr>
              <w:spacing w:after="0" w:before="0"/>
            </w:pPr>
            <w:r>
              <w:rPr>
                <w:rFonts w:ascii="Arial" w:cs="Arial" w:eastAsia="Arial" w:hAnsi="Arial"/>
                <w:b/>
                <w:bCs/>
                <w:color w:val="1A5C2E"/>
                <w:sz w:val="19"/>
                <w:szCs w:val="19"/>
              </w:rPr>
              <w:t xml:space="preserve">PROPUESTA DE REFORMA:</w:t>
            </w:r>
          </w:p>
        </w:tc>
      </w:tr>
      <w:tr>
        <w:tc>
          <w:tcPr>
            <w:tcBorders>
              <w:top w:val="none" w:color="FFFFFF" w:sz="0" w:space="0"/>
              <w:left w:val="none" w:color="FFFFFF" w:sz="0" w:space="0"/>
              <w:bottom w:val="single" w:color="0D1F3C" w:sz="8" w:space="0"/>
              <w:right w:val="none" w:color="FFFFFF" w:sz="0" w:space="0"/>
            </w:tcBorders>
            <w:shd w:fill="FFFFFF" w:val="clear"/>
            <w:tcMar>
              <w:top w:type="dxa" w:w="0"/>
              <w:left w:type="dxa" w:w="160"/>
              <w:bottom w:type="dxa" w:w="100"/>
              <w:right w:type="dxa" w:w="160"/>
            </w:tcMar>
          </w:tcPr>
          <w:p>
            <w:pPr>
              <w:spacing w:after="0" w:before="0"/>
              <w:jc w:val="both"/>
            </w:pPr>
            <w:r>
              <w:rPr>
                <w:rFonts w:ascii="Georgia" w:cs="Georgia" w:eastAsia="Georgia" w:hAnsi="Georgia"/>
                <w:color w:val="111111"/>
                <w:sz w:val="20"/>
                <w:szCs w:val="20"/>
              </w:rPr>
              <w:t xml:space="preserve">Proceso de cinco etapas con filtro técnico internacional, escrutinio público de 60 días, sorteo ciudadano verificado y ratificación con mayoría calificada inversa de la Asamblea. El gobierno no propone candidatos. Solo puede rechazar con 101 votos y causa técnica documentada.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6B" w:sz="8" w:space="0"/>
              <w:left w:val="none" w:color="FFFFFF" w:sz="0" w:space="0"/>
              <w:bottom w:val="none" w:color="FFFFFF" w:sz="0" w:space="0"/>
              <w:right w:val="none" w:color="FFFFFF" w:sz="0" w:space="0"/>
            </w:tcBorders>
            <w:shd w:fill="1A3A6B"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CONSEJO DE LA JUDICATURA</w:t>
            </w:r>
          </w:p>
        </w:tc>
      </w:tr>
      <w:tr>
        <w:tc>
          <w:tcPr>
            <w:tcBorders>
              <w:top w:val="none" w:color="FFFFFF" w:sz="0" w:space="0"/>
              <w:left w:val="none" w:color="FFFFFF" w:sz="0" w:space="0"/>
              <w:bottom w:val="none" w:color="FFFFFF" w:sz="0" w:space="0"/>
              <w:right w:val="none" w:color="FFFFFF" w:sz="0" w:space="0"/>
            </w:tcBorders>
            <w:shd w:fill="F0F0F0" w:val="clear"/>
            <w:tcMar>
              <w:top w:type="dxa" w:w="80"/>
              <w:left w:type="dxa" w:w="160"/>
              <w:bottom w:type="dxa" w:w="20"/>
              <w:right w:type="dxa" w:w="160"/>
            </w:tcMar>
          </w:tcPr>
          <w:p>
            <w:pPr>
              <w:spacing w:after="0" w:before="0"/>
            </w:pPr>
            <w:r>
              <w:rPr>
                <w:rFonts w:ascii="Arial" w:cs="Arial" w:eastAsia="Arial" w:hAnsi="Arial"/>
                <w:b/>
                <w:bCs/>
                <w:color w:val="7B1111"/>
                <w:sz w:val="19"/>
                <w:szCs w:val="19"/>
              </w:rPr>
              <w:t xml:space="preserve">PROBLEMA ACTUAL:</w:t>
            </w:r>
          </w:p>
        </w:tc>
      </w:tr>
      <w:tr>
        <w:tc>
          <w:tcPr>
            <w:tcBorders>
              <w:top w:val="none" w:color="FFFFFF" w:sz="0" w:space="0"/>
              <w:left w:val="none" w:color="FFFFFF" w:sz="0" w:space="0"/>
              <w:bottom w:val="none" w:color="FFFFFF" w:sz="0" w:space="0"/>
              <w:right w:val="none" w:color="FFFFFF" w:sz="0" w:space="0"/>
            </w:tcBorders>
            <w:shd w:fill="F0F0F0" w:val="clear"/>
            <w:tcMar>
              <w:top w:type="dxa" w:w="0"/>
              <w:left w:type="dxa" w:w="160"/>
              <w:bottom w:type="dxa" w:w="80"/>
              <w:right w:type="dxa" w:w="160"/>
            </w:tcMar>
          </w:tcPr>
          <w:p>
            <w:pPr>
              <w:spacing w:after="0" w:before="0"/>
              <w:jc w:val="both"/>
            </w:pPr>
            <w:r>
              <w:rPr>
                <w:rFonts w:ascii="Georgia" w:cs="Georgia" w:eastAsia="Georgia" w:hAnsi="Georgia"/>
                <w:color w:val="111111"/>
                <w:sz w:val="20"/>
                <w:szCs w:val="20"/>
              </w:rPr>
              <w:t xml:space="preserve">Tiene poder sobre todos los jueces del país: designación, evaluación, sanción y remoción. Quien controla el Consejo controla la justicia. Ha sido capturado en múltiples ocasiones, incluyendo la intervención por consulta popular de 2011 que lo convirtió en instrumento del gobierno de turno durante años.</w:t>
            </w:r>
          </w:p>
        </w:tc>
      </w:tr>
      <w:tr>
        <w:tc>
          <w:tcPr>
            <w:tcBorders>
              <w:top w:val="none" w:color="FFFFFF" w:sz="0" w:space="0"/>
              <w:left w:val="none" w:color="FFFFFF" w:sz="0" w:space="0"/>
              <w:bottom w:val="none" w:color="FFFFFF" w:sz="0" w:space="0"/>
              <w:right w:val="none" w:color="FFFFFF" w:sz="0" w:space="0"/>
            </w:tcBorders>
            <w:shd w:fill="FFFFFF" w:val="clear"/>
            <w:tcMar>
              <w:top w:type="dxa" w:w="80"/>
              <w:left w:type="dxa" w:w="160"/>
              <w:bottom w:type="dxa" w:w="20"/>
              <w:right w:type="dxa" w:w="160"/>
            </w:tcMar>
          </w:tcPr>
          <w:p>
            <w:pPr>
              <w:spacing w:after="0" w:before="0"/>
            </w:pPr>
            <w:r>
              <w:rPr>
                <w:rFonts w:ascii="Arial" w:cs="Arial" w:eastAsia="Arial" w:hAnsi="Arial"/>
                <w:b/>
                <w:bCs/>
                <w:color w:val="1A5C2E"/>
                <w:sz w:val="19"/>
                <w:szCs w:val="19"/>
              </w:rPr>
              <w:t xml:space="preserve">PROPUESTA DE REFORMA:</w:t>
            </w:r>
          </w:p>
        </w:tc>
      </w:tr>
      <w:tr>
        <w:tc>
          <w:tcPr>
            <w:tcBorders>
              <w:top w:val="none" w:color="FFFFFF" w:sz="0" w:space="0"/>
              <w:left w:val="none" w:color="FFFFFF" w:sz="0" w:space="0"/>
              <w:bottom w:val="single" w:color="1A3A6B" w:sz="8" w:space="0"/>
              <w:right w:val="none" w:color="FFFFFF" w:sz="0" w:space="0"/>
            </w:tcBorders>
            <w:shd w:fill="FFFFFF" w:val="clear"/>
            <w:tcMar>
              <w:top w:type="dxa" w:w="0"/>
              <w:left w:type="dxa" w:w="160"/>
              <w:bottom w:type="dxa" w:w="100"/>
              <w:right w:type="dxa" w:w="160"/>
            </w:tcMar>
          </w:tcPr>
          <w:p>
            <w:pPr>
              <w:spacing w:after="0" w:before="0"/>
              <w:jc w:val="both"/>
            </w:pPr>
            <w:r>
              <w:rPr>
                <w:rFonts w:ascii="Georgia" w:cs="Georgia" w:eastAsia="Georgia" w:hAnsi="Georgia"/>
                <w:color w:val="111111"/>
                <w:sz w:val="20"/>
                <w:szCs w:val="20"/>
              </w:rPr>
              <w:t xml:space="preserve">Separación en dos cámaras. Cámara Técnica de cinco miembros elegida por proceso de tres filtros — ocupa solo evaluación de desempeño y formación judicial, sin poder de remoción política. Cámara Disciplinaria de siete miembros elegida por sorteo entre abogados y académicos — ocupa exclusivamente procesos disciplinarios con apelación ante la Corte Nacional, no ante organismos políticos.</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111" w:sz="8" w:space="0"/>
              <w:left w:val="none" w:color="FFFFFF" w:sz="0" w:space="0"/>
              <w:bottom w:val="none" w:color="FFFFFF" w:sz="0" w:space="0"/>
              <w:right w:val="none" w:color="FFFFFF" w:sz="0" w:space="0"/>
            </w:tcBorders>
            <w:shd w:fill="7B1111"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FISCALÍA GENERAL DEL ESTADO</w:t>
            </w:r>
          </w:p>
        </w:tc>
      </w:tr>
      <w:tr>
        <w:tc>
          <w:tcPr>
            <w:tcBorders>
              <w:top w:val="none" w:color="FFFFFF" w:sz="0" w:space="0"/>
              <w:left w:val="none" w:color="FFFFFF" w:sz="0" w:space="0"/>
              <w:bottom w:val="none" w:color="FFFFFF" w:sz="0" w:space="0"/>
              <w:right w:val="none" w:color="FFFFFF" w:sz="0" w:space="0"/>
            </w:tcBorders>
            <w:shd w:fill="F0F0F0" w:val="clear"/>
            <w:tcMar>
              <w:top w:type="dxa" w:w="80"/>
              <w:left w:type="dxa" w:w="160"/>
              <w:bottom w:type="dxa" w:w="20"/>
              <w:right w:type="dxa" w:w="160"/>
            </w:tcMar>
          </w:tcPr>
          <w:p>
            <w:pPr>
              <w:spacing w:after="0" w:before="0"/>
            </w:pPr>
            <w:r>
              <w:rPr>
                <w:rFonts w:ascii="Arial" w:cs="Arial" w:eastAsia="Arial" w:hAnsi="Arial"/>
                <w:b/>
                <w:bCs/>
                <w:color w:val="7B1111"/>
                <w:sz w:val="19"/>
                <w:szCs w:val="19"/>
              </w:rPr>
              <w:t xml:space="preserve">PROBLEMA ACTUAL:</w:t>
            </w:r>
          </w:p>
        </w:tc>
      </w:tr>
      <w:tr>
        <w:tc>
          <w:tcPr>
            <w:tcBorders>
              <w:top w:val="none" w:color="FFFFFF" w:sz="0" w:space="0"/>
              <w:left w:val="none" w:color="FFFFFF" w:sz="0" w:space="0"/>
              <w:bottom w:val="none" w:color="FFFFFF" w:sz="0" w:space="0"/>
              <w:right w:val="none" w:color="FFFFFF" w:sz="0" w:space="0"/>
            </w:tcBorders>
            <w:shd w:fill="F0F0F0" w:val="clear"/>
            <w:tcMar>
              <w:top w:type="dxa" w:w="0"/>
              <w:left w:type="dxa" w:w="160"/>
              <w:bottom w:type="dxa" w:w="80"/>
              <w:right w:type="dxa" w:w="160"/>
            </w:tcMar>
          </w:tcPr>
          <w:p>
            <w:pPr>
              <w:spacing w:after="0" w:before="0"/>
              <w:jc w:val="both"/>
            </w:pPr>
            <w:r>
              <w:rPr>
                <w:rFonts w:ascii="Georgia" w:cs="Georgia" w:eastAsia="Georgia" w:hAnsi="Georgia"/>
                <w:color w:val="111111"/>
                <w:sz w:val="20"/>
                <w:szCs w:val="20"/>
              </w:rPr>
              <w:t xml:space="preserve">El Fiscal General es designado por el Consejo de la Judicatura mediante concurso cuyo proceso ha sido políticamente influenciado. Tiene poder discrecional sobre qué casos investiga y cuáles no. Históricamente ha habido períodos donde casos políticamente sensibles avanzan o se archivan según la alineación del Fiscal con el gobierno.</w:t>
            </w:r>
          </w:p>
        </w:tc>
      </w:tr>
      <w:tr>
        <w:tc>
          <w:tcPr>
            <w:tcBorders>
              <w:top w:val="none" w:color="FFFFFF" w:sz="0" w:space="0"/>
              <w:left w:val="none" w:color="FFFFFF" w:sz="0" w:space="0"/>
              <w:bottom w:val="none" w:color="FFFFFF" w:sz="0" w:space="0"/>
              <w:right w:val="none" w:color="FFFFFF" w:sz="0" w:space="0"/>
            </w:tcBorders>
            <w:shd w:fill="FFFFFF" w:val="clear"/>
            <w:tcMar>
              <w:top w:type="dxa" w:w="80"/>
              <w:left w:type="dxa" w:w="160"/>
              <w:bottom w:type="dxa" w:w="20"/>
              <w:right w:type="dxa" w:w="160"/>
            </w:tcMar>
          </w:tcPr>
          <w:p>
            <w:pPr>
              <w:spacing w:after="0" w:before="0"/>
            </w:pPr>
            <w:r>
              <w:rPr>
                <w:rFonts w:ascii="Arial" w:cs="Arial" w:eastAsia="Arial" w:hAnsi="Arial"/>
                <w:b/>
                <w:bCs/>
                <w:color w:val="1A5C2E"/>
                <w:sz w:val="19"/>
                <w:szCs w:val="19"/>
              </w:rPr>
              <w:t xml:space="preserve">PROPUESTA DE REFORMA:</w:t>
            </w:r>
          </w:p>
        </w:tc>
      </w:tr>
      <w:tr>
        <w:tc>
          <w:tcPr>
            <w:tcBorders>
              <w:top w:val="none" w:color="FFFFFF" w:sz="0" w:space="0"/>
              <w:left w:val="none" w:color="FFFFFF" w:sz="0" w:space="0"/>
              <w:bottom w:val="single" w:color="7B1111" w:sz="8" w:space="0"/>
              <w:right w:val="none" w:color="FFFFFF" w:sz="0" w:space="0"/>
            </w:tcBorders>
            <w:shd w:fill="FFFFFF" w:val="clear"/>
            <w:tcMar>
              <w:top w:type="dxa" w:w="0"/>
              <w:left w:type="dxa" w:w="160"/>
              <w:bottom w:type="dxa" w:w="100"/>
              <w:right w:type="dxa" w:w="160"/>
            </w:tcMar>
          </w:tcPr>
          <w:p>
            <w:pPr>
              <w:spacing w:after="0" w:before="0"/>
              <w:jc w:val="both"/>
            </w:pPr>
            <w:r>
              <w:rPr>
                <w:rFonts w:ascii="Georgia" w:cs="Georgia" w:eastAsia="Georgia" w:hAnsi="Georgia"/>
                <w:color w:val="111111"/>
                <w:sz w:val="20"/>
                <w:szCs w:val="20"/>
              </w:rPr>
              <w:t xml:space="preserve">Designación por el mismo proceso de cinco filtros que la Corte Constitucional. Mandato de seis años no renovable. Remoción solo por la Corte Constitucional con causa técnica y proceso con estándares internacionales. Unidad de fiscales especiales seleccionados por sorteo para casos con conflicto de interés institucional — incluyendo cuando el SNIP investiga inacción de la propia Fiscalía.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E5C52" w:sz="8" w:space="0"/>
              <w:left w:val="none" w:color="FFFFFF" w:sz="0" w:space="0"/>
              <w:bottom w:val="none" w:color="FFFFFF" w:sz="0" w:space="0"/>
              <w:right w:val="none" w:color="FFFFFF" w:sz="0" w:space="0"/>
            </w:tcBorders>
            <w:shd w:fill="0E5C52"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CONTRALORÍA GENERAL DEL ESTADO</w:t>
            </w:r>
          </w:p>
        </w:tc>
      </w:tr>
      <w:tr>
        <w:tc>
          <w:tcPr>
            <w:tcBorders>
              <w:top w:val="none" w:color="FFFFFF" w:sz="0" w:space="0"/>
              <w:left w:val="none" w:color="FFFFFF" w:sz="0" w:space="0"/>
              <w:bottom w:val="none" w:color="FFFFFF" w:sz="0" w:space="0"/>
              <w:right w:val="none" w:color="FFFFFF" w:sz="0" w:space="0"/>
            </w:tcBorders>
            <w:shd w:fill="F0F0F0" w:val="clear"/>
            <w:tcMar>
              <w:top w:type="dxa" w:w="80"/>
              <w:left w:type="dxa" w:w="160"/>
              <w:bottom w:type="dxa" w:w="20"/>
              <w:right w:type="dxa" w:w="160"/>
            </w:tcMar>
          </w:tcPr>
          <w:p>
            <w:pPr>
              <w:spacing w:after="0" w:before="0"/>
            </w:pPr>
            <w:r>
              <w:rPr>
                <w:rFonts w:ascii="Arial" w:cs="Arial" w:eastAsia="Arial" w:hAnsi="Arial"/>
                <w:b/>
                <w:bCs/>
                <w:color w:val="7B1111"/>
                <w:sz w:val="19"/>
                <w:szCs w:val="19"/>
              </w:rPr>
              <w:t xml:space="preserve">PROBLEMA ACTUAL:</w:t>
            </w:r>
          </w:p>
        </w:tc>
      </w:tr>
      <w:tr>
        <w:tc>
          <w:tcPr>
            <w:tcBorders>
              <w:top w:val="none" w:color="FFFFFF" w:sz="0" w:space="0"/>
              <w:left w:val="none" w:color="FFFFFF" w:sz="0" w:space="0"/>
              <w:bottom w:val="none" w:color="FFFFFF" w:sz="0" w:space="0"/>
              <w:right w:val="none" w:color="FFFFFF" w:sz="0" w:space="0"/>
            </w:tcBorders>
            <w:shd w:fill="F0F0F0" w:val="clear"/>
            <w:tcMar>
              <w:top w:type="dxa" w:w="0"/>
              <w:left w:type="dxa" w:w="160"/>
              <w:bottom w:type="dxa" w:w="80"/>
              <w:right w:type="dxa" w:w="160"/>
            </w:tcMar>
          </w:tcPr>
          <w:p>
            <w:pPr>
              <w:spacing w:after="0" w:before="0"/>
              <w:jc w:val="both"/>
            </w:pPr>
            <w:r>
              <w:rPr>
                <w:rFonts w:ascii="Georgia" w:cs="Georgia" w:eastAsia="Georgia" w:hAnsi="Georgia"/>
                <w:color w:val="111111"/>
                <w:sz w:val="20"/>
                <w:szCs w:val="20"/>
              </w:rPr>
              <w:t xml:space="preserve">El Contralor es designado por el CPCCS mediante concurso cuyo proceso ha sido capturado en distintos períodos. La auditoría que realiza es posterior, no preventiva. Sus informes de indicios de responsabilidad penal no tienen fuerza ejecutiva directa sin decisión fiscal adicional, generando casos que mueren entre los dos organismos.</w:t>
            </w:r>
          </w:p>
        </w:tc>
      </w:tr>
      <w:tr>
        <w:tc>
          <w:tcPr>
            <w:tcBorders>
              <w:top w:val="none" w:color="FFFFFF" w:sz="0" w:space="0"/>
              <w:left w:val="none" w:color="FFFFFF" w:sz="0" w:space="0"/>
              <w:bottom w:val="none" w:color="FFFFFF" w:sz="0" w:space="0"/>
              <w:right w:val="none" w:color="FFFFFF" w:sz="0" w:space="0"/>
            </w:tcBorders>
            <w:shd w:fill="FFFFFF" w:val="clear"/>
            <w:tcMar>
              <w:top w:type="dxa" w:w="80"/>
              <w:left w:type="dxa" w:w="160"/>
              <w:bottom w:type="dxa" w:w="20"/>
              <w:right w:type="dxa" w:w="160"/>
            </w:tcMar>
          </w:tcPr>
          <w:p>
            <w:pPr>
              <w:spacing w:after="0" w:before="0"/>
            </w:pPr>
            <w:r>
              <w:rPr>
                <w:rFonts w:ascii="Arial" w:cs="Arial" w:eastAsia="Arial" w:hAnsi="Arial"/>
                <w:b/>
                <w:bCs/>
                <w:color w:val="1A5C2E"/>
                <w:sz w:val="19"/>
                <w:szCs w:val="19"/>
              </w:rPr>
              <w:t xml:space="preserve">PROPUESTA DE REFORMA:</w:t>
            </w:r>
          </w:p>
        </w:tc>
      </w:tr>
      <w:tr>
        <w:tc>
          <w:tcPr>
            <w:tcBorders>
              <w:top w:val="none" w:color="FFFFFF" w:sz="0" w:space="0"/>
              <w:left w:val="none" w:color="FFFFFF" w:sz="0" w:space="0"/>
              <w:bottom w:val="single" w:color="0E5C52" w:sz="8" w:space="0"/>
              <w:right w:val="none" w:color="FFFFFF" w:sz="0" w:space="0"/>
            </w:tcBorders>
            <w:shd w:fill="FFFFFF" w:val="clear"/>
            <w:tcMar>
              <w:top w:type="dxa" w:w="0"/>
              <w:left w:type="dxa" w:w="160"/>
              <w:bottom w:type="dxa" w:w="100"/>
              <w:right w:type="dxa" w:w="160"/>
            </w:tcMar>
          </w:tcPr>
          <w:p>
            <w:pPr>
              <w:spacing w:after="0" w:before="0"/>
              <w:jc w:val="both"/>
            </w:pPr>
            <w:r>
              <w:rPr>
                <w:rFonts w:ascii="Georgia" w:cs="Georgia" w:eastAsia="Georgia" w:hAnsi="Georgia"/>
                <w:color w:val="111111"/>
                <w:sz w:val="20"/>
                <w:szCs w:val="20"/>
              </w:rPr>
              <w:t xml:space="preserve">Designación por proceso de tres filtros con veeduría internacional. Unidad de auditoría digital integrada con el SNIP en tiempo real — no auditoría posterior cada dos años sino monitoreo continuo. Los informes de indicios del SNIP vinculan automáticamente a la Fiscalía sin necesidad de trámite adicional, eliminando el vacío entre detección y procesamiento.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1F7A" w:sz="8" w:space="0"/>
              <w:left w:val="none" w:color="FFFFFF" w:sz="0" w:space="0"/>
              <w:bottom w:val="none" w:color="FFFFFF" w:sz="0" w:space="0"/>
              <w:right w:val="none" w:color="FFFFFF" w:sz="0" w:space="0"/>
            </w:tcBorders>
            <w:shd w:fill="3B1F7A" w:val="clear"/>
            <w:tcMar>
              <w:top w:type="dxa" w:w="100"/>
              <w:left w:type="dxa" w:w="160"/>
              <w:bottom w:type="dxa" w:w="100"/>
              <w:right w:type="dxa" w:w="160"/>
            </w:tcMar>
          </w:tcPr>
          <w:p>
            <w:pPr>
              <w:spacing w:after="0" w:before="0"/>
            </w:pPr>
            <w:r>
              <w:rPr>
                <w:rFonts w:ascii="Arial" w:cs="Arial" w:eastAsia="Arial" w:hAnsi="Arial"/>
                <w:b/>
                <w:bCs/>
                <w:color w:val="FFFFFF"/>
                <w:sz w:val="24"/>
                <w:szCs w:val="24"/>
              </w:rPr>
              <w:t xml:space="preserve">DEFENSORÍA DEL PUEBLO</w:t>
            </w:r>
          </w:p>
        </w:tc>
      </w:tr>
      <w:tr>
        <w:tc>
          <w:tcPr>
            <w:tcBorders>
              <w:top w:val="none" w:color="FFFFFF" w:sz="0" w:space="0"/>
              <w:left w:val="none" w:color="FFFFFF" w:sz="0" w:space="0"/>
              <w:bottom w:val="none" w:color="FFFFFF" w:sz="0" w:space="0"/>
              <w:right w:val="none" w:color="FFFFFF" w:sz="0" w:space="0"/>
            </w:tcBorders>
            <w:shd w:fill="F0F0F0" w:val="clear"/>
            <w:tcMar>
              <w:top w:type="dxa" w:w="80"/>
              <w:left w:type="dxa" w:w="160"/>
              <w:bottom w:type="dxa" w:w="20"/>
              <w:right w:type="dxa" w:w="160"/>
            </w:tcMar>
          </w:tcPr>
          <w:p>
            <w:pPr>
              <w:spacing w:after="0" w:before="0"/>
            </w:pPr>
            <w:r>
              <w:rPr>
                <w:rFonts w:ascii="Arial" w:cs="Arial" w:eastAsia="Arial" w:hAnsi="Arial"/>
                <w:b/>
                <w:bCs/>
                <w:color w:val="7B1111"/>
                <w:sz w:val="19"/>
                <w:szCs w:val="19"/>
              </w:rPr>
              <w:t xml:space="preserve">PROBLEMA ACTUAL:</w:t>
            </w:r>
          </w:p>
        </w:tc>
      </w:tr>
      <w:tr>
        <w:tc>
          <w:tcPr>
            <w:tcBorders>
              <w:top w:val="none" w:color="FFFFFF" w:sz="0" w:space="0"/>
              <w:left w:val="none" w:color="FFFFFF" w:sz="0" w:space="0"/>
              <w:bottom w:val="none" w:color="FFFFFF" w:sz="0" w:space="0"/>
              <w:right w:val="none" w:color="FFFFFF" w:sz="0" w:space="0"/>
            </w:tcBorders>
            <w:shd w:fill="F0F0F0" w:val="clear"/>
            <w:tcMar>
              <w:top w:type="dxa" w:w="0"/>
              <w:left w:type="dxa" w:w="160"/>
              <w:bottom w:type="dxa" w:w="80"/>
              <w:right w:type="dxa" w:w="160"/>
            </w:tcMar>
          </w:tcPr>
          <w:p>
            <w:pPr>
              <w:spacing w:after="0" w:before="0"/>
              <w:jc w:val="both"/>
            </w:pPr>
            <w:r>
              <w:rPr>
                <w:rFonts w:ascii="Georgia" w:cs="Georgia" w:eastAsia="Georgia" w:hAnsi="Georgia"/>
                <w:color w:val="111111"/>
                <w:sz w:val="20"/>
                <w:szCs w:val="20"/>
              </w:rPr>
              <w:t xml:space="preserve">El Defensor es designado por el CPCCS. Su competencia para defender derechos ciudadanos es limitada cuando los derechos son vulnerados por el propio gobierno que lo designó. Históricamente ha tenido períodos de inactividad en casos políticamente sensibles.</w:t>
            </w:r>
          </w:p>
        </w:tc>
      </w:tr>
      <w:tr>
        <w:tc>
          <w:tcPr>
            <w:tcBorders>
              <w:top w:val="none" w:color="FFFFFF" w:sz="0" w:space="0"/>
              <w:left w:val="none" w:color="FFFFFF" w:sz="0" w:space="0"/>
              <w:bottom w:val="none" w:color="FFFFFF" w:sz="0" w:space="0"/>
              <w:right w:val="none" w:color="FFFFFF" w:sz="0" w:space="0"/>
            </w:tcBorders>
            <w:shd w:fill="FFFFFF" w:val="clear"/>
            <w:tcMar>
              <w:top w:type="dxa" w:w="80"/>
              <w:left w:type="dxa" w:w="160"/>
              <w:bottom w:type="dxa" w:w="20"/>
              <w:right w:type="dxa" w:w="160"/>
            </w:tcMar>
          </w:tcPr>
          <w:p>
            <w:pPr>
              <w:spacing w:after="0" w:before="0"/>
            </w:pPr>
            <w:r>
              <w:rPr>
                <w:rFonts w:ascii="Arial" w:cs="Arial" w:eastAsia="Arial" w:hAnsi="Arial"/>
                <w:b/>
                <w:bCs/>
                <w:color w:val="1A5C2E"/>
                <w:sz w:val="19"/>
                <w:szCs w:val="19"/>
              </w:rPr>
              <w:t xml:space="preserve">PROPUESTA DE REFORMA:</w:t>
            </w:r>
          </w:p>
        </w:tc>
      </w:tr>
      <w:tr>
        <w:tc>
          <w:tcPr>
            <w:tcBorders>
              <w:top w:val="none" w:color="FFFFFF" w:sz="0" w:space="0"/>
              <w:left w:val="none" w:color="FFFFFF" w:sz="0" w:space="0"/>
              <w:bottom w:val="single" w:color="3B1F7A" w:sz="8" w:space="0"/>
              <w:right w:val="none" w:color="FFFFFF" w:sz="0" w:space="0"/>
            </w:tcBorders>
            <w:shd w:fill="FFFFFF" w:val="clear"/>
            <w:tcMar>
              <w:top w:type="dxa" w:w="0"/>
              <w:left w:type="dxa" w:w="160"/>
              <w:bottom w:type="dxa" w:w="100"/>
              <w:right w:type="dxa" w:w="160"/>
            </w:tcMar>
          </w:tcPr>
          <w:p>
            <w:pPr>
              <w:spacing w:after="0" w:before="0"/>
              <w:jc w:val="both"/>
            </w:pPr>
            <w:r>
              <w:rPr>
                <w:rFonts w:ascii="Georgia" w:cs="Georgia" w:eastAsia="Georgia" w:hAnsi="Georgia"/>
                <w:color w:val="111111"/>
                <w:sz w:val="20"/>
                <w:szCs w:val="20"/>
              </w:rPr>
              <w:t xml:space="preserve">Designación por proceso de tres filtros. Competencia ampliada para recibir denuncias de ciudadanos sobre inacción de cualquier organismo de control, incluyendo Fiscalía y Contraloría. Puede presentar acción de incumplimiento ante la Corte Constitucional de forma autónoma sin necesidad de aprobación de ningún organismo gubernamental.</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EL PROCESO DE TRES FILTROS: DISEÑO DETALLADO</w:t>
      </w:r>
    </w:p>
    <w:p>
      <w:pPr>
        <w:spacing w:after="160" w:before="0" w:line="340" w:lineRule="auto"/>
        <w:jc w:val="both"/>
      </w:pPr>
      <w:r>
        <w:rPr>
          <w:rFonts w:ascii="Georgia" w:cs="Georgia" w:eastAsia="Georgia" w:hAnsi="Georgia"/>
          <w:sz w:val="22"/>
          <w:szCs w:val="22"/>
        </w:rPr>
        <w:t xml:space="preserve">Este proceso es el núcleo de toda la reforma. Reemplaza la designación política directa con un sistema donde el mérito técnico, el escrutinio público y la selección aleatoria se combinan para hacer técnicamente difícil la captura.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space="0"/>
              <w:left w:val="none" w:color="FFFFFF" w:sz="0" w:space="0"/>
              <w:bottom w:val="none" w:color="FFFFFF" w:sz="0" w:space="0"/>
              <w:right w:val="none" w:color="FFFFFF" w:sz="0" w:space="0"/>
            </w:tcBorders>
            <w:shd w:fill="0D1F3C" w:val="clear"/>
            <w:tcMar>
              <w:top w:type="dxa" w:w="140"/>
              <w:left w:type="dxa" w:w="100"/>
              <w:bottom w:type="dxa" w:w="140"/>
              <w:right w:type="dxa" w:w="0"/>
            </w:tcMar>
          </w:tcPr>
          <w:p>
            <w:pPr>
              <w:spacing w:after="20" w:before="0"/>
              <w:jc w:val="center"/>
            </w:pPr>
            <w:r>
              <w:rPr>
                <w:rFonts w:ascii="Arial" w:cs="Arial" w:eastAsia="Arial" w:hAnsi="Arial"/>
                <w:b/>
                <w:bCs/>
                <w:color w:val="DDDDFF"/>
                <w:sz w:val="14"/>
                <w:szCs w:val="14"/>
              </w:rPr>
              <w:t xml:space="preserve">FILTRO</w:t>
            </w:r>
          </w:p>
          <w:p>
            <w:pPr>
              <w:spacing w:after="0" w:before="0"/>
              <w:jc w:val="center"/>
            </w:pPr>
            <w:r>
              <w:rPr>
                <w:rFonts w:ascii="Arial" w:cs="Arial" w:eastAsia="Arial" w:hAnsi="Arial"/>
                <w:b/>
                <w:bCs/>
                <w:color w:val="FFFFFF"/>
                <w:sz w:val="40"/>
                <w:szCs w:val="40"/>
              </w:rPr>
              <w:t xml:space="preserve">1</w:t>
            </w:r>
          </w:p>
        </w:tc>
        <w:tc>
          <w:tcPr>
            <w:tcW w:type="dxa" w:w="8760"/>
            <w:tcBorders>
              <w:top w:val="single" w:color="0D1F3C" w:sz="8" w:space="0"/>
              <w:left w:val="none" w:color="FFFFFF" w:sz="0" w:space="0"/>
              <w:bottom w:val="single" w:color="0D1F3C" w:sz="8" w:space="0"/>
              <w:right w:val="none" w:color="FFFFFF" w:sz="0" w:space="0"/>
            </w:tcBorders>
            <w:shd w:fill="F4F5F7" w:val="clear"/>
            <w:tcMar>
              <w:top w:type="dxa" w:w="130"/>
              <w:left w:type="dxa" w:w="180"/>
              <w:bottom w:type="dxa" w:w="130"/>
              <w:right w:type="dxa" w:w="180"/>
            </w:tcMar>
          </w:tcPr>
          <w:p>
            <w:pPr>
              <w:spacing w:after="50" w:before="0"/>
            </w:pPr>
            <w:r>
              <w:rPr>
                <w:rFonts w:ascii="Arial" w:cs="Arial" w:eastAsia="Arial" w:hAnsi="Arial"/>
                <w:b/>
                <w:bCs/>
                <w:color w:val="0D1F3C"/>
                <w:sz w:val="23"/>
                <w:szCs w:val="23"/>
              </w:rPr>
              <w:t xml:space="preserve">FILTRO TÉCNICO INTERNACIONAL — Evaluación de méritos</w:t>
            </w:r>
          </w:p>
          <w:p>
            <w:pPr>
              <w:spacing w:after="0" w:before="0"/>
            </w:pPr>
            <w:r>
              <w:rPr>
                <w:rFonts w:ascii="Georgia" w:cs="Georgia" w:eastAsia="Georgia" w:hAnsi="Georgia"/>
                <w:color w:val="111111"/>
                <w:sz w:val="21"/>
                <w:szCs w:val="21"/>
              </w:rPr>
              <w:t xml:space="preserve">Un panel de nueve evaluadores independientes evalúa exclusivamente méritos técnicos y elimina candidatos que no cumplen. El panel se compone de: tres juristas internacionales seleccionados por sorteo de una lista de 30 propuesta por la Comisión de Venecia del Consejo de Europa; tres académicos ecuatorianos sorteados entre docentes de facultades de derecho con acreditación máxima del CEAACES; y tres ex magistrados de Cortes Constitucionales latinoamericanas propuestos por la Corte Interamericana de Derechos Humanos. El gobierno ecuatoriano no propone ni veta a ningún evaluador. El panel opera con total independencia y publica sus criterios de evaluación antes de iniciar el proceso.</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space="0"/>
              <w:left w:val="none" w:color="FFFFFF" w:sz="0" w:space="0"/>
              <w:bottom w:val="none" w:color="FFFFFF" w:sz="0" w:space="0"/>
              <w:right w:val="none" w:color="FFFFFF" w:sz="0" w:space="0"/>
            </w:tcBorders>
            <w:shd w:fill="1A3A6B" w:val="clear"/>
            <w:tcMar>
              <w:top w:type="dxa" w:w="140"/>
              <w:left w:type="dxa" w:w="100"/>
              <w:bottom w:type="dxa" w:w="140"/>
              <w:right w:type="dxa" w:w="0"/>
            </w:tcMar>
          </w:tcPr>
          <w:p>
            <w:pPr>
              <w:spacing w:after="20" w:before="0"/>
              <w:jc w:val="center"/>
            </w:pPr>
            <w:r>
              <w:rPr>
                <w:rFonts w:ascii="Arial" w:cs="Arial" w:eastAsia="Arial" w:hAnsi="Arial"/>
                <w:b/>
                <w:bCs/>
                <w:color w:val="DDDDFF"/>
                <w:sz w:val="14"/>
                <w:szCs w:val="14"/>
              </w:rPr>
              <w:t xml:space="preserve">FILTRO</w:t>
            </w:r>
          </w:p>
          <w:p>
            <w:pPr>
              <w:spacing w:after="0" w:before="0"/>
              <w:jc w:val="center"/>
            </w:pPr>
            <w:r>
              <w:rPr>
                <w:rFonts w:ascii="Arial" w:cs="Arial" w:eastAsia="Arial" w:hAnsi="Arial"/>
                <w:b/>
                <w:bCs/>
                <w:color w:val="FFFFFF"/>
                <w:sz w:val="40"/>
                <w:szCs w:val="40"/>
              </w:rPr>
              <w:t xml:space="preserve">2</w:t>
            </w:r>
          </w:p>
        </w:tc>
        <w:tc>
          <w:tcPr>
            <w:tcW w:type="dxa" w:w="8760"/>
            <w:tcBorders>
              <w:top w:val="single" w:color="1A3A6B" w:sz="8" w:space="0"/>
              <w:left w:val="none" w:color="FFFFFF" w:sz="0" w:space="0"/>
              <w:bottom w:val="single" w:color="1A3A6B" w:sz="8" w:space="0"/>
              <w:right w:val="none" w:color="FFFFFF" w:sz="0" w:space="0"/>
            </w:tcBorders>
            <w:shd w:fill="F4F5F7" w:val="clear"/>
            <w:tcMar>
              <w:top w:type="dxa" w:w="130"/>
              <w:left w:type="dxa" w:w="180"/>
              <w:bottom w:type="dxa" w:w="130"/>
              <w:right w:type="dxa" w:w="180"/>
            </w:tcMar>
          </w:tcPr>
          <w:p>
            <w:pPr>
              <w:spacing w:after="50" w:before="0"/>
            </w:pPr>
            <w:r>
              <w:rPr>
                <w:rFonts w:ascii="Arial" w:cs="Arial" w:eastAsia="Arial" w:hAnsi="Arial"/>
                <w:b/>
                <w:bCs/>
                <w:color w:val="1A3A6B"/>
                <w:sz w:val="23"/>
                <w:szCs w:val="23"/>
              </w:rPr>
              <w:t xml:space="preserve">FILTRO DE ESCRUTINIO PÚBLICO — 60 días de transparencia total</w:t>
            </w:r>
          </w:p>
          <w:p>
            <w:pPr>
              <w:spacing w:after="0" w:before="0"/>
            </w:pPr>
            <w:r>
              <w:rPr>
                <w:rFonts w:ascii="Georgia" w:cs="Georgia" w:eastAsia="Georgia" w:hAnsi="Georgia"/>
                <w:color w:val="111111"/>
                <w:sz w:val="21"/>
                <w:szCs w:val="21"/>
              </w:rPr>
              <w:t xml:space="preserve">Los candidatos que superan el filtro técnico son publicados con sus hojas de vida completas, declaraciones de patrimonio, vínculos laborales pasados y posibles conflictos de interés durante 60 días. Cualquier ciudadano, organización o institución puede presentar objeciones documentadas con evidencia verificable. Un sub-panel del mismo panel técnico evalúa las objeciones. Los candidatos con objeciones fundadas pueden ser eliminados. Los candidatos eliminados pueden impugnar ante la Comisión de Venecia. Este filtro convierte a la ciudadanía en actor activo del proceso de selección.</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space="0"/>
              <w:left w:val="none" w:color="FFFFFF" w:sz="0" w:space="0"/>
              <w:bottom w:val="none" w:color="FFFFFF" w:sz="0" w:space="0"/>
              <w:right w:val="none" w:color="FFFFFF" w:sz="0" w:space="0"/>
            </w:tcBorders>
            <w:shd w:fill="0E5C52" w:val="clear"/>
            <w:tcMar>
              <w:top w:type="dxa" w:w="140"/>
              <w:left w:type="dxa" w:w="100"/>
              <w:bottom w:type="dxa" w:w="140"/>
              <w:right w:type="dxa" w:w="0"/>
            </w:tcMar>
          </w:tcPr>
          <w:p>
            <w:pPr>
              <w:spacing w:after="20" w:before="0"/>
              <w:jc w:val="center"/>
            </w:pPr>
            <w:r>
              <w:rPr>
                <w:rFonts w:ascii="Arial" w:cs="Arial" w:eastAsia="Arial" w:hAnsi="Arial"/>
                <w:b/>
                <w:bCs/>
                <w:color w:val="DDDDFF"/>
                <w:sz w:val="14"/>
                <w:szCs w:val="14"/>
              </w:rPr>
              <w:t xml:space="preserve">FILTRO</w:t>
            </w:r>
          </w:p>
          <w:p>
            <w:pPr>
              <w:spacing w:after="0" w:before="0"/>
              <w:jc w:val="center"/>
            </w:pPr>
            <w:r>
              <w:rPr>
                <w:rFonts w:ascii="Arial" w:cs="Arial" w:eastAsia="Arial" w:hAnsi="Arial"/>
                <w:b/>
                <w:bCs/>
                <w:color w:val="FFFFFF"/>
                <w:sz w:val="40"/>
                <w:szCs w:val="40"/>
              </w:rPr>
              <w:t xml:space="preserve">3</w:t>
            </w:r>
          </w:p>
        </w:tc>
        <w:tc>
          <w:tcPr>
            <w:tcW w:type="dxa" w:w="8760"/>
            <w:tcBorders>
              <w:top w:val="single" w:color="0E5C52" w:sz="8" w:space="0"/>
              <w:left w:val="none" w:color="FFFFFF" w:sz="0" w:space="0"/>
              <w:bottom w:val="single" w:color="0E5C52" w:sz="8" w:space="0"/>
              <w:right w:val="none" w:color="FFFFFF" w:sz="0" w:space="0"/>
            </w:tcBorders>
            <w:shd w:fill="F4F5F7" w:val="clear"/>
            <w:tcMar>
              <w:top w:type="dxa" w:w="130"/>
              <w:left w:type="dxa" w:w="180"/>
              <w:bottom w:type="dxa" w:w="130"/>
              <w:right w:type="dxa" w:w="180"/>
            </w:tcMar>
          </w:tcPr>
          <w:p>
            <w:pPr>
              <w:spacing w:after="50" w:before="0"/>
            </w:pPr>
            <w:r>
              <w:rPr>
                <w:rFonts w:ascii="Arial" w:cs="Arial" w:eastAsia="Arial" w:hAnsi="Arial"/>
                <w:b/>
                <w:bCs/>
                <w:color w:val="0E5C52"/>
                <w:sz w:val="23"/>
                <w:szCs w:val="23"/>
              </w:rPr>
              <w:t xml:space="preserve">FILTRO DE SELECCIÓN — Sorteo ciudadano verificado</w:t>
            </w:r>
          </w:p>
          <w:p>
            <w:pPr>
              <w:spacing w:after="0" w:before="0"/>
            </w:pPr>
            <w:r>
              <w:rPr>
                <w:rFonts w:ascii="Georgia" w:cs="Georgia" w:eastAsia="Georgia" w:hAnsi="Georgia"/>
                <w:color w:val="111111"/>
                <w:sz w:val="21"/>
                <w:szCs w:val="21"/>
              </w:rPr>
              <w:t xml:space="preserve">De los candidatos que superan el escrutinio público, los titulares son seleccionados por sorteo ciudadano transmitido en vivo con veeduría internacional simultánea de UNODC, OEA y Comisión de Venecia. No hay votación política. No hay negociación de cuotas entre partidos. El sorteo es el único mecanismo de selección final. La Asamblea Nacional tiene 30 días para rechazar a algún seleccionado con 101 votos y causa técnica documentada aprobada por el panel internacional. Si la Asamblea no actúa en ese plazo, el candidato queda automáticamente posesionado. La Asamblea puede bloquear pero nunca puede proponer sus propios candidatos.</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EL TRIBUNAL DE CINCO: CASOS DE MÁXIMA GRAVEDAD</w:t>
      </w:r>
    </w:p>
    <w:p>
      <w:pPr>
        <w:spacing w:after="160" w:before="0" w:line="340" w:lineRule="auto"/>
        <w:jc w:val="both"/>
      </w:pPr>
      <w:r>
        <w:rPr>
          <w:rFonts w:ascii="Georgia" w:cs="Georgia" w:eastAsia="Georgia" w:hAnsi="Georgia"/>
          <w:sz w:val="22"/>
          <w:szCs w:val="22"/>
        </w:rPr>
        <w:t xml:space="preserve">Ningún país democrático puede tener un sistema anticorrupción creíble si el Presidente de la República está por encima de las investigaciones. En Singapur el CPIB puede investigar al Primer Ministro con autorización del Presidente, que es un cargo con mandato independiente. Ecuador necesita un mecanismo equivalente adaptado a su estructura institucional.</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Para investigaciones que involucran al Presidente de la República, ninguna institución individual puede autorizar ni bloquear el proceso. Se requiere la concurrencia de cinco actores con orígenes institucionales distintos.</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Composición del Tribunal de Cinco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MIEMBRO</w:t>
            </w:r>
          </w:p>
        </w:tc>
        <w:tc>
          <w:tcPr>
            <w:tcW w:type="dxa" w:w="2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ORIGEN INSTITUCIONAL</w:t>
            </w:r>
          </w:p>
        </w:tc>
        <w:tc>
          <w:tcPr>
            <w:tcW w:type="dxa" w:w="43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POR QUÉ ES INDEPENDIENTE</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Presidente de la Corte Nacional de Justicia</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Judicial — designado por proceso técnico</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 depende del Ejecutivo ni de la Asamblea</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Defensor del Pueblo</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Función de Transparencia — designado por 3 filtros</w:t>
            </w:r>
          </w:p>
        </w:tc>
        <w:tc>
          <w:tcPr>
            <w:tcW w:type="dxa" w:w="4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Mandato independiente del gobierno de turno</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Presidente del comité internacional de veeduría del SNIP</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Internacional — seleccionado por UNODC y OEA</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Externo al sistema político ecuatoriano</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Delegado ciudadano sorteado anualmente</w:t>
            </w:r>
          </w:p>
        </w:tc>
        <w:tc>
          <w:tcPr>
            <w:tcW w:type="dxa" w:w="2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Ciudadanía — selección aleatoria verificada</w:t>
            </w:r>
          </w:p>
        </w:tc>
        <w:tc>
          <w:tcPr>
            <w:tcW w:type="dxa" w:w="4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Sin afiliación política ni cargo institucional</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Director del SNIP</w:t>
            </w:r>
          </w:p>
        </w:tc>
        <w:tc>
          <w:tcPr>
            <w:tcW w:type="dxa" w:w="2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Sorteo ciudadano — mandato fijo inamovible</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 puede ser removido por el gobierno que investiga</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Reglas del Tribunal</w:t>
      </w:r>
    </w:p>
    <w:p>
      <w:pPr>
        <w:pStyle w:val="ListParagraph"/>
        <w:numPr>
          <w:ilvl w:val="0"/>
          <w:numId w:val="2"/>
        </w:numPr>
        <w:spacing w:after="60" w:before="60"/>
      </w:pPr>
      <w:r>
        <w:rPr>
          <w:rFonts w:ascii="Georgia" w:cs="Georgia" w:eastAsia="Georgia" w:hAnsi="Georgia"/>
          <w:sz w:val="21"/>
          <w:szCs w:val="21"/>
        </w:rPr>
        <w:t xml:space="preserve">Los cinco deben coincidir para autorizar una investigación al Presidente. Ninguno solo puede aprobarla ni bloquearla.</w:t>
      </w:r>
    </w:p>
    <w:p>
      <w:pPr>
        <w:pStyle w:val="ListParagraph"/>
        <w:numPr>
          <w:ilvl w:val="0"/>
          <w:numId w:val="2"/>
        </w:numPr>
        <w:spacing w:after="60" w:before="60"/>
      </w:pPr>
      <w:r>
        <w:rPr>
          <w:rFonts w:ascii="Georgia" w:cs="Georgia" w:eastAsia="Georgia" w:hAnsi="Georgia"/>
          <w:sz w:val="21"/>
          <w:szCs w:val="21"/>
        </w:rPr>
        <w:t xml:space="preserve">Si tres o más miembros consideran que hay mérito suficiente, el caso pasa a investigación formal con fiscal especial sorteado.</w:t>
      </w:r>
    </w:p>
    <w:p>
      <w:pPr>
        <w:pStyle w:val="ListParagraph"/>
        <w:numPr>
          <w:ilvl w:val="0"/>
          <w:numId w:val="2"/>
        </w:numPr>
        <w:spacing w:after="60" w:before="60"/>
      </w:pPr>
      <w:r>
        <w:rPr>
          <w:rFonts w:ascii="Georgia" w:cs="Georgia" w:eastAsia="Georgia" w:hAnsi="Georgia"/>
          <w:sz w:val="21"/>
          <w:szCs w:val="21"/>
        </w:rPr>
        <w:t xml:space="preserve">El proceso es público desde el momento en que se activa. Los ciudadanos pueden ver qué miembro del tribunal tomó qué posición.</w:t>
      </w:r>
    </w:p>
    <w:p>
      <w:pPr>
        <w:pStyle w:val="ListParagraph"/>
        <w:numPr>
          <w:ilvl w:val="0"/>
          <w:numId w:val="2"/>
        </w:numPr>
        <w:spacing w:after="60" w:before="60"/>
      </w:pPr>
      <w:r>
        <w:rPr>
          <w:rFonts w:ascii="Georgia" w:cs="Georgia" w:eastAsia="Georgia" w:hAnsi="Georgia"/>
          <w:sz w:val="21"/>
          <w:szCs w:val="21"/>
        </w:rPr>
        <w:t xml:space="preserve">Cualquier intento de presionar a un miembro del tribunal es delito autónomo con pena agravada tipificado en el COIP.</w:t>
      </w:r>
    </w:p>
    <w:p>
      <w:pPr>
        <w:pStyle w:val="ListParagraph"/>
        <w:numPr>
          <w:ilvl w:val="0"/>
          <w:numId w:val="2"/>
        </w:numPr>
        <w:spacing w:after="60" w:before="60"/>
      </w:pPr>
      <w:r>
        <w:rPr>
          <w:rFonts w:ascii="Georgia" w:cs="Georgia" w:eastAsia="Georgia" w:hAnsi="Georgia"/>
          <w:sz w:val="21"/>
          <w:szCs w:val="21"/>
        </w:rPr>
        <w:t xml:space="preserve">El tribunal no decide culpabilidad. Solo decide si la investigación formal procede. La culpabilidad la determina el poder judicial ordinario.</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MECANISMO ESCALONADO DE SANCIONES POR INACCIÓN INSTITUCIONAL</w:t>
      </w:r>
    </w:p>
    <w:p>
      <w:pPr>
        <w:spacing w:after="160" w:before="0" w:line="340" w:lineRule="auto"/>
        <w:jc w:val="both"/>
      </w:pPr>
      <w:r>
        <w:rPr>
          <w:rFonts w:ascii="Georgia" w:cs="Georgia" w:eastAsia="Georgia" w:hAnsi="Georgia"/>
          <w:sz w:val="22"/>
          <w:szCs w:val="22"/>
        </w:rPr>
        <w:t xml:space="preserve">El SNIP genera alertas. Si los organismos que deben actuar sobre esas alertas pueden ignorarlas sin consecuencias, el sistema es inútil. El mecanismo escalonado garantiza que la inacción siempre tiene un costo creciente y visible.</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200"/>
        <w:gridCol w:w="1200"/>
        <w:gridCol w:w="1960"/>
      </w:tblGrid>
      <w:tr>
        <w:tc>
          <w:tcPr>
            <w:tcW w:type="dxa" w:w="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NIVEL</w:t>
            </w:r>
          </w:p>
        </w:tc>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ACTIVACIÓN</w:t>
            </w:r>
          </w:p>
        </w:tc>
        <w:tc>
          <w:tcPr>
            <w:tcW w:type="dxa" w:w="3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ACCIÓN</w:t>
            </w:r>
          </w:p>
        </w:tc>
        <w:tc>
          <w:tcPr>
            <w:tcW w:type="dxa" w:w="1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REVERSIBLE</w:t>
            </w:r>
          </w:p>
        </w:tc>
        <w:tc>
          <w:tcPr>
            <w:tcW w:type="dxa" w:w="19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RESPONSABLE</w:t>
            </w:r>
          </w:p>
        </w:tc>
      </w:tr>
      <w:tr>
        <w:tc>
          <w:tcPr>
            <w:tcW w:type="dxa" w:w="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 — Notificación pública</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Alerta sin respuesta al vencer el plazo legal</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Portal ciudadano publica: qué alerta, desde cuándo, quién es el funcionario responsable</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N/A — Es información pública permanente</w:t>
            </w:r>
          </w:p>
        </w:tc>
        <w:tc>
          <w:tcPr>
            <w:tcW w:type="dxa" w:w="1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SNIP automáticamente</w:t>
            </w:r>
          </w:p>
        </w:tc>
      </w:tr>
      <w:tr>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 — Congelamiento presupuestario</w:t>
            </w:r>
          </w:p>
        </w:tc>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30 días adicionales sin respuesta ni justificación documentada</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Congelamiento del 5% mensual del presupuesto discrecional del organismo. Al actuar, el monto se libera automáticamente.</w:t>
            </w:r>
          </w:p>
        </w:tc>
        <w:tc>
          <w:tcPr>
            <w:tcW w:type="dxa" w:w="1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Sí — Se libera cuando el organismo actúa</w:t>
            </w:r>
          </w:p>
        </w:tc>
        <w:tc>
          <w:tcPr>
            <w:tcW w:type="dxa" w:w="1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SNIP con notificación al Ministerio de Finanzas</w:t>
            </w:r>
          </w:p>
        </w:tc>
      </w:tr>
      <w:tr>
        <w:tc>
          <w:tcPr>
            <w:tcW w:type="dxa" w:w="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 — Investigación de omisión</w:t>
            </w:r>
          </w:p>
        </w:tc>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Indicios de inacción dolosa o protección deliberada a un actor corrupto</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Fiscal especial sorteado de otra provincia investiga la omisión. El fiscal ordinario queda excluido por conflicto de interés.</w:t>
            </w:r>
          </w:p>
        </w:tc>
        <w:tc>
          <w:tcPr>
            <w:tcW w:type="dxa" w:w="1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 — Proceso penal autónomo</w:t>
            </w:r>
          </w:p>
        </w:tc>
        <w:tc>
          <w:tcPr>
            <w:tcW w:type="dxa" w:w="1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SNIP activa + Corte Constitucional supervisa</w:t>
            </w:r>
          </w:p>
        </w:tc>
      </w:tr>
    </w:tbl>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La clave del mecanismo es que el nivel 2 es reversible: no castiga permanentemente al organismo sino que genera incentivo a actuar. El nivel 3 solo se activa cuando hay evidencia de que la inacción no es negligencia sino protección deliberada.</w:t>
            </w:r>
          </w:p>
        </w:tc>
      </w:tr>
    </w:tbl>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REFORMA AL CÓDIGO DE LA DEMOCRACIA Y LEY ELECTORAL</w:t>
      </w:r>
    </w:p>
    <w:p>
      <w:pPr>
        <w:spacing w:after="160" w:before="0" w:line="340" w:lineRule="auto"/>
        <w:jc w:val="both"/>
      </w:pPr>
      <w:r>
        <w:rPr>
          <w:rFonts w:ascii="Georgia" w:cs="Georgia" w:eastAsia="Georgia" w:hAnsi="Georgia"/>
          <w:sz w:val="22"/>
          <w:szCs w:val="22"/>
        </w:rPr>
        <w:t xml:space="preserve">La captura del Estado no empieza cuando alguien llega al poder. Empieza cuando se financia la campaña para llegar. Sin reforma al sistema de financiamiento político y al proceso de selección de candidatos, todas las demás reformas son insuficientes.</w:t>
      </w:r>
    </w:p>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Tres Reformas al Código de la Democracia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REFORMA</w:t>
            </w:r>
          </w:p>
        </w:tc>
        <w:tc>
          <w:tcPr>
            <w:tcW w:type="dxa" w:w="4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CONTENIDO</w:t>
            </w:r>
          </w:p>
        </w:tc>
        <w:tc>
          <w:tcPr>
            <w:tcW w:type="dxa" w:w="33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IMPACTO ESPERADO</w:t>
            </w:r>
          </w:p>
        </w:tc>
      </w:tr>
      <w:tr>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Listas abiertas y desbloqueadas</w:t>
            </w:r>
          </w:p>
        </w:tc>
        <w:tc>
          <w:tcPr>
            <w:tcW w:type="dxa" w:w="4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El ciudadano vota por personas, no por listas cerradas que el partido decide. El orden final de la lista lo determina el voto ciudadano, no la cúpula del partido.</w:t>
            </w:r>
          </w:p>
        </w:tc>
        <w:tc>
          <w:tcPr>
            <w:tcW w:type="dxa" w:w="3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Reduce el poder de las cúpulas partidarias de colocar candidatos leales en posiciones seguras independientemente de su calidad.</w:t>
            </w:r>
          </w:p>
        </w:tc>
      </w:tr>
      <w:tr>
        <w:tc>
          <w:tcPr>
            <w:tcW w:type="dxa" w:w="2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Requisitos técnicos mínimos por comisión</w:t>
            </w:r>
          </w:p>
        </w:tc>
        <w:tc>
          <w:tcPr>
            <w:tcW w:type="dxa" w:w="4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Candidatos a la Asamblea que postulen a la Comisión de Justicia deben tener formación jurídica verificable. Comisión Económica: formación en economía o finanzas. Comisión de Salud: formación en salud pública.</w:t>
            </w:r>
          </w:p>
        </w:tc>
        <w:tc>
          <w:tcPr>
            <w:tcW w:type="dxa" w:w="3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Mejora la calidad técnica del debate legislativo y reduce la posibilidad de que comisiones especializadas sean controladas por personas sin conocimiento del área.</w:t>
            </w:r>
          </w:p>
        </w:tc>
      </w:tr>
      <w:tr>
        <w:tc>
          <w:tcPr>
            <w:tcW w:type="dxa" w:w="2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Incompatibilidades ampliadas</w:t>
            </w:r>
          </w:p>
        </w:tc>
        <w:tc>
          <w:tcPr>
            <w:tcW w:type="dxa" w:w="4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No puede ser candidato quien tenga contratos vigentes con el Estado o sus familiares directos, quien esté bajo investigación activa del SNIP, o quien haya sido sancionado por el SNIP en los últimos 4 años.</w:t>
            </w:r>
          </w:p>
        </w:tc>
        <w:tc>
          <w:tcPr>
            <w:tcW w:type="dxa" w:w="3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Cierra la puerta a candidatos que buscan el cargo para proteger intereses económicos vinculados al Estado.</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Reforma al Financiamiento Político</w:t>
      </w:r>
    </w:p>
    <w:p>
      <w:pPr>
        <w:pStyle w:val="ListParagraph"/>
        <w:numPr>
          <w:ilvl w:val="0"/>
          <w:numId w:val="2"/>
        </w:numPr>
        <w:spacing w:after="60" w:before="60"/>
      </w:pPr>
      <w:r>
        <w:rPr>
          <w:rFonts w:ascii="Georgia" w:cs="Georgia" w:eastAsia="Georgia" w:hAnsi="Georgia"/>
          <w:sz w:val="21"/>
          <w:szCs w:val="21"/>
        </w:rPr>
        <w:t xml:space="preserve">Declaración en tiempo real de cada aportación mayor a $1.000 en el portal del CNE con datos completos del aportante.</w:t>
      </w:r>
    </w:p>
    <w:p>
      <w:pPr>
        <w:pStyle w:val="ListParagraph"/>
        <w:numPr>
          <w:ilvl w:val="0"/>
          <w:numId w:val="2"/>
        </w:numPr>
        <w:spacing w:after="60" w:before="60"/>
      </w:pPr>
      <w:r>
        <w:rPr>
          <w:rFonts w:ascii="Georgia" w:cs="Georgia" w:eastAsia="Georgia" w:hAnsi="Georgia"/>
          <w:sz w:val="21"/>
          <w:szCs w:val="21"/>
        </w:rPr>
        <w:t xml:space="preserve">Prohibición absoluta de donaciones de empresas con contratos con el Estado, sus filiales o representantes legales en los 4 años anteriores a la campaña.</w:t>
      </w:r>
    </w:p>
    <w:p>
      <w:pPr>
        <w:pStyle w:val="ListParagraph"/>
        <w:numPr>
          <w:ilvl w:val="0"/>
          <w:numId w:val="2"/>
        </w:numPr>
        <w:spacing w:after="60" w:before="60"/>
      </w:pPr>
      <w:r>
        <w:rPr>
          <w:rFonts w:ascii="Georgia" w:cs="Georgia" w:eastAsia="Georgia" w:hAnsi="Georgia"/>
          <w:sz w:val="21"/>
          <w:szCs w:val="21"/>
        </w:rPr>
        <w:t xml:space="preserve">Cruce automático entre declaraciones de financiamiento del CNE y el módulo financiero del SNIP. Las discrepancias generan alerta automática.</w:t>
      </w:r>
    </w:p>
    <w:p>
      <w:pPr>
        <w:pStyle w:val="ListParagraph"/>
        <w:numPr>
          <w:ilvl w:val="0"/>
          <w:numId w:val="2"/>
        </w:numPr>
        <w:spacing w:after="60" w:before="60"/>
      </w:pPr>
      <w:r>
        <w:rPr>
          <w:rFonts w:ascii="Georgia" w:cs="Georgia" w:eastAsia="Georgia" w:hAnsi="Georgia"/>
          <w:sz w:val="21"/>
          <w:szCs w:val="21"/>
        </w:rPr>
        <w:t xml:space="preserve">Financiamiento político ilícito tipificado como delito autónomo con pena de 3 a 7 años e inhabilitación política permanente.</w:t>
      </w:r>
    </w:p>
    <w:p>
      <w:pPr>
        <w:pStyle w:val="ListParagraph"/>
        <w:numPr>
          <w:ilvl w:val="0"/>
          <w:numId w:val="2"/>
        </w:numPr>
        <w:spacing w:after="60" w:before="60"/>
      </w:pPr>
      <w:r>
        <w:rPr>
          <w:rFonts w:ascii="Georgia" w:cs="Georgia" w:eastAsia="Georgia" w:hAnsi="Georgia"/>
          <w:sz w:val="21"/>
          <w:szCs w:val="21"/>
        </w:rPr>
        <w:t xml:space="preserve">Facultad del CNE para suspender candidatos con financiamiento irregular confirmado por el SNIP durante el proceso electoral.</w:t>
      </w:r>
    </w:p>
    <w:p>
      <w:pPr>
        <w:spacing w:after="140" w:before="0"/>
      </w:pPr>
      <w:r>
        <w:rPr>
          <w:sz w:val="20"/>
          <w:szCs w:val="20"/>
        </w:rPr>
        <w:t xml:space="preserve"/>
      </w:r>
    </w:p>
    <w:p>
      <w:r>
        <w:br w:type="page"/>
      </w:r>
    </w:p>
    <w:p>
      <w:pPr>
        <w:pStyle w:val="Heading1"/>
        <w:spacing w:after="200" w:before="500"/>
      </w:pPr>
      <w:r>
        <w:rPr>
          <w:rFonts w:ascii="Arial" w:cs="Arial" w:eastAsia="Arial" w:hAnsi="Arial"/>
          <w:b/>
          <w:bCs/>
          <w:color w:val="0D1F3C"/>
          <w:sz w:val="40"/>
          <w:szCs w:val="40"/>
        </w:rPr>
        <w:t xml:space="preserve">EL SNIP COMO QUINTA FUNCIÓN CONSTITUCIONAL HORIZONTAL</w:t>
      </w:r>
    </w:p>
    <w:p>
      <w:pPr>
        <w:spacing w:after="160" w:before="0" w:line="340" w:lineRule="auto"/>
        <w:jc w:val="both"/>
      </w:pPr>
      <w:r>
        <w:rPr>
          <w:rFonts w:ascii="Georgia" w:cs="Georgia" w:eastAsia="Georgia" w:hAnsi="Georgia"/>
          <w:sz w:val="22"/>
          <w:szCs w:val="22"/>
        </w:rPr>
        <w:t xml:space="preserve">La Constitución ecuatoriana define cinco funciones del Estado: Ejecutiva, Legislativa, Judicial, Electoral y de Transparencia y Control Social. El SNIP no encaja en ninguna de ellas porque su naturaleza es transversal: cruza a todas sin depender de ninguna.</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El SNIP no es parte del Estado. Es el sistema que vigila al Estado. Por eso debe tener el mismo rango constitucional que las cinco funciones pero sin ser subordinado a ninguna. Es la columna vertebral de integridad que conecta a todas.</w:t>
            </w:r>
          </w:p>
        </w:tc>
      </w:tr>
    </w:tbl>
    <w:p>
      <w:pPr>
        <w:spacing w:after="140" w:before="0"/>
      </w:pPr>
      <w:r>
        <w:rPr>
          <w:sz w:val="20"/>
          <w:szCs w:val="20"/>
        </w:rPr>
        <w:t xml:space="preserve"/>
      </w:r>
    </w:p>
    <w:p>
      <w:pPr>
        <w:pStyle w:val="Heading2"/>
        <w:pBdr>
          <w:bottom w:val="single" w:color="2E5FA3" w:sz="6" w:space="4"/>
        </w:pBdr>
        <w:spacing w:after="160" w:before="320"/>
      </w:pPr>
      <w:r>
        <w:rPr>
          <w:rFonts w:ascii="Arial" w:cs="Arial" w:eastAsia="Arial" w:hAnsi="Arial"/>
          <w:b/>
          <w:bCs/>
          <w:color w:val="2E5FA3"/>
          <w:sz w:val="28"/>
          <w:szCs w:val="28"/>
        </w:rPr>
        <w:t xml:space="preserve">Diferencias Clave con el CPCCS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DIMENSIÓN</w:t>
            </w:r>
          </w:p>
        </w:tc>
        <w:tc>
          <w:tcPr>
            <w:tcW w:type="dxa" w:w="3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CPCCS ACTUAL</w:t>
            </w:r>
          </w:p>
        </w:tc>
        <w:tc>
          <w:tcPr>
            <w:tcW w:type="dxa" w:w="39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SNIP PROPUESTO</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Poderes</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Puede designar y destituir autoridades — poder de nombramiento concentrado</w:t>
            </w:r>
          </w:p>
        </w:tc>
        <w:tc>
          <w:tcPr>
            <w:tcW w:type="dxa" w:w="3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Solo detecta, alerta, documenta e informa — sin poder de nombramiento</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Capturabilidad</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Alta — controlar el CPCCS da poder de designación sobre múltiples cargos clave</w:t>
            </w:r>
          </w:p>
        </w:tc>
        <w:tc>
          <w:tcPr>
            <w:tcW w:type="dxa" w:w="3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Baja — capturar el SNIP no otorga poder de nombramiento ni de destitución</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Designación de sus propios directores</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Por concurso con influencia política documentada</w:t>
            </w:r>
          </w:p>
        </w:tc>
        <w:tc>
          <w:tcPr>
            <w:tcW w:type="dxa" w:w="3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Por sorteo ciudadano verificado con veeduría internacional</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Presupuesto</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Asignado anualmente por el gobierno</w:t>
            </w:r>
          </w:p>
        </w:tc>
        <w:tc>
          <w:tcPr>
            <w:tcW w:type="dxa" w:w="3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Porcentaje fijo constitucional no reducible sin mayoría calificada</w:t>
            </w:r>
          </w:p>
        </w:tc>
      </w:tr>
      <w:tr>
        <w:tc>
          <w:tcPr>
            <w:tcW w:type="dxa" w:w="2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Modificación</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Por ley ordinaria con mayoría simple</w:t>
            </w:r>
          </w:p>
        </w:tc>
        <w:tc>
          <w:tcPr>
            <w:tcW w:type="dxa" w:w="39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Tres candados simultáneos: Asamblea + referéndum + Corte Constitucional</w:t>
            </w:r>
          </w:p>
        </w:tc>
      </w:tr>
      <w:tr>
        <w:tc>
          <w:tcPr>
            <w:tcW w:type="dxa" w:w="2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Supervisión de su propio funcionamiento</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Interna y política</w:t>
            </w:r>
          </w:p>
        </w:tc>
        <w:tc>
          <w:tcPr>
            <w:tcW w:type="dxa" w:w="39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Comité internacional + comités ciudadanos rotativos + informe anual público</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SECUENCIA DE IMPLEMENTACIÓN: ORDEN ESTRATÉGICO</w:t>
      </w:r>
    </w:p>
    <w:p>
      <w:pPr>
        <w:spacing w:after="160" w:before="0" w:line="340" w:lineRule="auto"/>
        <w:jc w:val="both"/>
      </w:pPr>
      <w:r>
        <w:rPr>
          <w:rFonts w:ascii="Georgia" w:cs="Georgia" w:eastAsia="Georgia" w:hAnsi="Georgia"/>
          <w:sz w:val="22"/>
          <w:szCs w:val="22"/>
        </w:rPr>
        <w:t xml:space="preserve">Estas reformas no pueden implementarse simultáneamente. El orden importa porque algunas son condición de las otras y porque la acumulación de evidencia del SNIP es el argumento político más poderoso para las reformas institucionales más difíciles.</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3200"/>
        <w:gridCol w:w="4360"/>
      </w:tblGrid>
      <w:tr>
        <w:tc>
          <w:tcPr>
            <w:tcW w:type="dxa" w:w="8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ETAPA</w:t>
            </w:r>
          </w:p>
        </w:tc>
        <w:tc>
          <w:tcPr>
            <w:tcW w:type="dxa" w:w="10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PERÍODO</w:t>
            </w:r>
          </w:p>
        </w:tc>
        <w:tc>
          <w:tcPr>
            <w:tcW w:type="dxa" w:w="320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REFORMAS</w:t>
            </w:r>
          </w:p>
        </w:tc>
        <w:tc>
          <w:tcPr>
            <w:tcW w:type="dxa" w:w="4360"/>
            <w:tcBorders>
              <w:top w:val="single" w:color="BBBBBB" w:sz="4" w:space="0"/>
              <w:left w:val="single" w:color="BBBBBB" w:sz="4" w:space="0"/>
              <w:bottom w:val="single" w:color="BBBBBB" w:sz="4" w:space="0"/>
              <w:right w:val="single" w:color="BBBBBB" w:sz="4" w:space="0"/>
            </w:tcBorders>
            <w:shd w:fill="0D1F3C" w:val="clear"/>
            <w:tcMar>
              <w:top w:type="dxa" w:w="80"/>
              <w:left w:type="dxa" w:w="100"/>
              <w:bottom w:type="dxa" w:w="80"/>
              <w:right w:type="dxa" w:w="100"/>
            </w:tcMar>
          </w:tcPr>
          <w:p>
            <w:pPr>
              <w:spacing w:after="0" w:before="0"/>
              <w:jc w:val="center"/>
            </w:pPr>
            <w:r>
              <w:rPr>
                <w:rFonts w:ascii="Arial" w:cs="Arial" w:eastAsia="Arial" w:hAnsi="Arial"/>
                <w:b/>
                <w:bCs/>
                <w:color w:val="FFFFFF"/>
                <w:sz w:val="18"/>
                <w:szCs w:val="18"/>
              </w:rPr>
              <w:t xml:space="preserve">CONDICIÓN PREVIA</w:t>
            </w:r>
          </w:p>
        </w:tc>
      </w:tr>
      <w:tr>
        <w:tc>
          <w:tcPr>
            <w:tcW w:type="dxa" w:w="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1 — Base del sistema</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Años 1–2</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Ley Orgánica del SNIP. Reforma LOTAIP. Ley de Patrimonio Digital. SNIP empieza a operar.</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Respaldo ciudadano mínimo de 20.000 personas. Consulta previa a la Corte Constitucional.</w:t>
            </w:r>
          </w:p>
        </w:tc>
      </w:tr>
      <w:tr>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2 — Evidencia acumulada</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Años 2–4</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El SNIP documenta públicamente casos de inacción de Fiscalía, Contraloría y Consejo de la Judicatura. Esa evidencia es el argumento para las reformas institucionales.</w:t>
            </w:r>
          </w:p>
        </w:tc>
        <w:tc>
          <w:tcPr>
            <w:tcW w:type="dxa" w:w="4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SNIP operativo. Al menos 3 casos documentados de inacción institucional publicados en el portal ciudadano.</w:t>
            </w:r>
          </w:p>
        </w:tc>
      </w:tr>
      <w:tr>
        <w:tc>
          <w:tcPr>
            <w:tcW w:type="dxa" w:w="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3 — Reforma institucional</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Años 3–5</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Proceso de tres filtros para Fiscal, Contralor y Defensor. Reforma del Consejo de la Judicatura en dos cámaras. Tribunal de cinco para casos presidenciales.</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Evidencia acumulada del SNIP. Respaldo ciudadano de 50.000+. Apoyo de organismos internacionales.</w:t>
            </w:r>
          </w:p>
        </w:tc>
      </w:tr>
      <w:tr>
        <w:tc>
          <w:tcPr>
            <w:tcW w:type="dxa" w:w="8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4 — Reforma constitucional</w:t>
            </w:r>
          </w:p>
        </w:tc>
        <w:tc>
          <w:tcPr>
            <w:tcW w:type="dxa" w:w="10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Años 4–6</w:t>
            </w:r>
          </w:p>
        </w:tc>
        <w:tc>
          <w:tcPr>
            <w:tcW w:type="dxa" w:w="320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 parcial de la Constitución: proceso de tres filtros para Corte Constitucional. Protección presupuestaria de organismos de control. SNIP como función constitucional transversal.</w:t>
            </w:r>
          </w:p>
        </w:tc>
        <w:tc>
          <w:tcPr>
            <w:tcW w:type="dxa" w:w="4360"/>
            <w:tcBorders>
              <w:top w:val="single" w:color="BBBBBB" w:sz="4" w:space="0"/>
              <w:left w:val="single" w:color="BBBBBB" w:sz="4" w:space="0"/>
              <w:bottom w:val="single" w:color="BBBBBB" w:sz="4" w:space="0"/>
              <w:right w:val="single" w:color="BBBBBB" w:sz="4" w:space="0"/>
            </w:tcBorders>
            <w:shd w:fill="F4F5F7" w:val="clear"/>
            <w:tcMar>
              <w:top w:type="dxa" w:w="80"/>
              <w:left w:type="dxa" w:w="100"/>
              <w:bottom w:type="dxa" w:w="80"/>
              <w:right w:type="dxa" w:w="100"/>
            </w:tcMar>
          </w:tcPr>
          <w:p>
            <w:pPr>
              <w:spacing w:after="0" w:before="0"/>
            </w:pPr>
            <w:r>
              <w:rPr>
                <w:rFonts w:ascii="Georgia" w:cs="Georgia" w:eastAsia="Georgia" w:hAnsi="Georgia"/>
                <w:sz w:val="18"/>
                <w:szCs w:val="18"/>
              </w:rPr>
              <w:t xml:space="preserve">Mayoría calificada en la Asamblea (101 votos) + respaldo ciudadano para referéndum.</w:t>
            </w:r>
          </w:p>
        </w:tc>
      </w:tr>
      <w:tr>
        <w:tc>
          <w:tcPr>
            <w:tcW w:type="dxa" w:w="8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5 — Consolidación</w:t>
            </w:r>
          </w:p>
        </w:tc>
        <w:tc>
          <w:tcPr>
            <w:tcW w:type="dxa" w:w="10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Años 6–10</w:t>
            </w:r>
          </w:p>
        </w:tc>
        <w:tc>
          <w:tcPr>
            <w:tcW w:type="dxa" w:w="320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Reforma al Código de la Democracia. Financiamiento político transparente. Requisitos técnicos para candidatos. Incompatibilidades ampliadas.</w:t>
            </w:r>
          </w:p>
        </w:tc>
        <w:tc>
          <w:tcPr>
            <w:tcW w:type="dxa" w:w="4360"/>
            <w:tcBorders>
              <w:top w:val="single" w:color="BBBBBB" w:sz="4" w:space="0"/>
              <w:left w:val="single" w:color="BBBBBB" w:sz="4" w:space="0"/>
              <w:bottom w:val="single" w:color="BBBBBB" w:sz="4" w:space="0"/>
              <w:right w:val="single" w:color="BBBBBB" w:sz="4" w:space="0"/>
            </w:tcBorders>
            <w:shd w:fill="FFFFFF" w:val="clear"/>
            <w:tcMar>
              <w:top w:type="dxa" w:w="80"/>
              <w:left w:type="dxa" w:w="100"/>
              <w:bottom w:type="dxa" w:w="80"/>
              <w:right w:type="dxa" w:w="100"/>
            </w:tcMar>
          </w:tcPr>
          <w:p>
            <w:pPr>
              <w:spacing w:after="0" w:before="0"/>
            </w:pPr>
            <w:r>
              <w:rPr>
                <w:rFonts w:ascii="Georgia" w:cs="Georgia" w:eastAsia="Georgia" w:hAnsi="Georgia"/>
                <w:sz w:val="18"/>
                <w:szCs w:val="18"/>
              </w:rPr>
              <w:t xml:space="preserve">Sistema de control institucional operativo y con credibilidad ciudadana demostrada.</w:t>
            </w:r>
          </w:p>
        </w:tc>
      </w:tr>
    </w:tbl>
    <w:p>
      <w:pPr>
        <w:spacing w:after="140" w:before="0"/>
      </w:pPr>
      <w:r>
        <w:rPr>
          <w:sz w:val="20"/>
          <w:szCs w:val="20"/>
        </w:rPr>
        <w:t xml:space="preserve"/>
      </w:r>
    </w:p>
    <w:p>
      <w:pPr>
        <w:spacing w:after="140" w:before="0"/>
      </w:pPr>
      <w:r>
        <w:rPr>
          <w:sz w:val="20"/>
          <w:szCs w:val="20"/>
        </w:rPr>
        <w:t xml:space="preserve"/>
      </w:r>
    </w:p>
    <w:p>
      <w:pPr>
        <w:pStyle w:val="Heading1"/>
        <w:spacing w:after="200" w:before="500"/>
      </w:pPr>
      <w:r>
        <w:rPr>
          <w:rFonts w:ascii="Arial" w:cs="Arial" w:eastAsia="Arial" w:hAnsi="Arial"/>
          <w:b/>
          <w:bCs/>
          <w:color w:val="0D1F3C"/>
          <w:sz w:val="40"/>
          <w:szCs w:val="40"/>
        </w:rPr>
        <w:t xml:space="preserve">CONCLUSIÓN: LA PREGUNTA QUE ESTE DOCUMENTO RESPONDE</w:t>
      </w:r>
    </w:p>
    <w:p>
      <w:pPr>
        <w:spacing w:after="160" w:before="0" w:line="340" w:lineRule="auto"/>
        <w:jc w:val="both"/>
      </w:pPr>
      <w:r>
        <w:rPr>
          <w:rFonts w:ascii="Georgia" w:cs="Georgia" w:eastAsia="Georgia" w:hAnsi="Georgia"/>
          <w:sz w:val="22"/>
          <w:szCs w:val="22"/>
        </w:rPr>
        <w:t xml:space="preserve">¿Puede Ecuador diseñar un sistema donde ningún gobierno de turno pueda concentrar el control sobre todos los organismos que lo deben vigilar? La evidencia comparada dice que sí. Estonia lo hizo. Singapur lo hizo. Hong Kong lo hizo. Ninguno en condiciones más favorables que las de Ecuador hoy.</w:t>
      </w:r>
    </w:p>
    <w:p>
      <w:pPr>
        <w:spacing w:after="160" w:before="0" w:line="340" w:lineRule="auto"/>
        <w:jc w:val="both"/>
      </w:pPr>
      <w:r>
        <w:rPr>
          <w:rFonts w:ascii="Georgia" w:cs="Georgia" w:eastAsia="Georgia" w:hAnsi="Georgia"/>
          <w:sz w:val="22"/>
          <w:szCs w:val="22"/>
        </w:rPr>
        <w:t xml:space="preserve">Lo que diferencia a esos países de Ecuador no es que tuvieron mejores políticos. Es que en algún momento alguien diseñó las reglas del juego de tal forma que concentrar el poder se volvió técnicamente difícil, políticamente costoso y públicamente visible. Ese es exactamente el objetivo de este documento.</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space="0"/>
              <w:left w:val="none" w:color="FFFFFF" w:sz="0" w:space="0"/>
              <w:bottom w:val="none" w:color="FFFFFF" w:sz="0" w:space="0"/>
              <w:right w:val="none" w:color="FFFFFF" w:sz="0" w:space="0"/>
            </w:tcBorders>
            <w:shd w:fill="0D1F3C" w:val="clear"/>
            <w:tcMar>
              <w:top w:type="dxa" w:w="160"/>
              <w:left w:type="dxa" w:w="280"/>
              <w:bottom w:type="dxa" w:w="160"/>
              <w:right w:type="dxa" w:w="280"/>
            </w:tcMar>
          </w:tcPr>
          <w:p>
            <w:pPr>
              <w:spacing w:after="0" w:before="0"/>
            </w:pPr>
            <w:r>
              <w:rPr>
                <w:rFonts w:ascii="Georgia" w:cs="Georgia" w:eastAsia="Georgia" w:hAnsi="Georgia"/>
                <w:b/>
                <w:bCs/>
                <w:color w:val="FFFFFF"/>
                <w:sz w:val="21"/>
                <w:szCs w:val="21"/>
              </w:rPr>
              <w:t xml:space="preserve">La desconcentración de poderes no se logra declarando la independencia de los organismos. Se logra diseñando los mecanismos de designación, financiamiento y control de tal forma que ningún actor pueda dominar todas las palancas al mismo tiempo. Ese es el diseño que Ecuador todavía no tiene. Y ese es el diseño que el SNIP, combinado con las reformas de este documento, puede construir.</w:t>
            </w:r>
          </w:p>
        </w:tc>
      </w:tr>
    </w:tbl>
    <w:p>
      <w:pPr>
        <w:spacing w:after="140" w:before="0"/>
      </w:pPr>
      <w:r>
        <w:rPr>
          <w:sz w:val="20"/>
          <w:szCs w:val="20"/>
        </w:rPr>
        <w:t xml:space="preserve"/>
      </w:r>
    </w:p>
    <w:p>
      <w:pPr>
        <w:spacing w:after="0" w:before="200"/>
        <w:jc w:val="center"/>
      </w:pPr>
      <w:r>
        <w:rPr>
          <w:rFonts w:ascii="Georgia" w:cs="Georgia" w:eastAsia="Georgia" w:hAnsi="Georgia"/>
          <w:i/>
          <w:iCs/>
          <w:color w:val="888888"/>
          <w:sz w:val="20"/>
          <w:szCs w:val="20"/>
        </w:rPr>
        <w:t xml:space="preserve">— Fin del documento —</w:t>
      </w:r>
    </w:p>
    <w:p>
      <w:pPr>
        <w:spacing w:after="14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AAAAA" w:sz="4" w:space="0"/>
              <w:left w:val="none" w:color="FFFFFF" w:sz="0" w:space="0"/>
              <w:bottom w:val="none" w:color="FFFFFF" w:sz="0" w:space="0"/>
              <w:right w:val="none" w:color="FFFFFF" w:sz="0" w:space="0"/>
            </w:tcBorders>
            <w:shd w:fill="F9F9F9" w:val="clear"/>
            <w:tcMar>
              <w:top w:type="dxa" w:w="80"/>
              <w:left w:type="dxa" w:w="120"/>
              <w:bottom w:type="dxa" w:w="80"/>
              <w:right w:type="dxa" w:w="120"/>
            </w:tcMar>
          </w:tcPr>
          <w:p>
            <w:pPr>
              <w:spacing w:after="20" w:before="0"/>
            </w:pPr>
            <w:r>
              <w:rPr>
                <w:rFonts w:ascii="Arial" w:cs="Arial" w:eastAsia="Arial" w:hAnsi="Arial"/>
                <w:b/>
                <w:bCs/>
                <w:color w:val="999999"/>
                <w:sz w:val="15"/>
                <w:szCs w:val="15"/>
              </w:rPr>
              <w:t xml:space="preserve">FUENTES DE REFERENCIA</w:t>
            </w:r>
          </w:p>
          <w:p>
            <w:pPr>
              <w:spacing w:after="10" w:before="10"/>
            </w:pPr>
            <w:r>
              <w:rPr>
                <w:rFonts w:ascii="Arial" w:cs="Arial" w:eastAsia="Arial" w:hAnsi="Arial"/>
                <w:b/>
                <w:bCs/>
                <w:color w:val="555555"/>
                <w:sz w:val="15"/>
                <w:szCs w:val="15"/>
              </w:rPr>
              <w:t xml:space="preserve">[1] Comisión de Venecia — Estándares para designación de magistrados constitucionales: </w:t>
            </w:r>
            <w:r>
              <w:rPr>
                <w:rFonts w:ascii="Arial" w:cs="Arial" w:eastAsia="Arial" w:hAnsi="Arial"/>
                <w:color w:val="1155CC"/>
                <w:sz w:val="15"/>
                <w:szCs w:val="15"/>
              </w:rPr>
              <w:t xml:space="preserve">https://www.venice.coe.int/webforms/documents/?pdf=CDL-AD(2010)004-e</w:t>
            </w:r>
          </w:p>
          <w:p>
            <w:pPr>
              <w:spacing w:after="10" w:before="10"/>
            </w:pPr>
            <w:r>
              <w:rPr>
                <w:rFonts w:ascii="Arial" w:cs="Arial" w:eastAsia="Arial" w:hAnsi="Arial"/>
                <w:b/>
                <w:bCs/>
                <w:color w:val="555555"/>
                <w:sz w:val="15"/>
                <w:szCs w:val="15"/>
              </w:rPr>
              <w:t xml:space="preserve">[2] CIDH — Independencia judicial en América Latina: </w:t>
            </w:r>
            <w:r>
              <w:rPr>
                <w:rFonts w:ascii="Arial" w:cs="Arial" w:eastAsia="Arial" w:hAnsi="Arial"/>
                <w:color w:val="1155CC"/>
                <w:sz w:val="15"/>
                <w:szCs w:val="15"/>
              </w:rPr>
              <w:t xml:space="preserve">https://www.oas.org/es/cidh/expresion/showarticle.asp?artID=705</w:t>
            </w:r>
          </w:p>
          <w:p>
            <w:pPr>
              <w:spacing w:after="10" w:before="10"/>
            </w:pPr>
            <w:r>
              <w:rPr>
                <w:rFonts w:ascii="Arial" w:cs="Arial" w:eastAsia="Arial" w:hAnsi="Arial"/>
                <w:b/>
                <w:bCs/>
                <w:color w:val="555555"/>
                <w:sz w:val="15"/>
                <w:szCs w:val="15"/>
              </w:rPr>
              <w:t xml:space="preserve">[3] CPIB Singapur — Diseño institucional y autonomía: </w:t>
            </w:r>
            <w:r>
              <w:rPr>
                <w:rFonts w:ascii="Arial" w:cs="Arial" w:eastAsia="Arial" w:hAnsi="Arial"/>
                <w:color w:val="1155CC"/>
                <w:sz w:val="15"/>
                <w:szCs w:val="15"/>
              </w:rPr>
              <w:t xml:space="preserve">https://www.cpib.gov.sg</w:t>
            </w:r>
          </w:p>
          <w:p>
            <w:pPr>
              <w:spacing w:after="10" w:before="10"/>
            </w:pPr>
            <w:r>
              <w:rPr>
                <w:rFonts w:ascii="Arial" w:cs="Arial" w:eastAsia="Arial" w:hAnsi="Arial"/>
                <w:b/>
                <w:bCs/>
                <w:color w:val="555555"/>
                <w:sz w:val="15"/>
                <w:szCs w:val="15"/>
              </w:rPr>
              <w:t xml:space="preserve">[4] ICAC Hong Kong — Modelo de tres pilares: </w:t>
            </w:r>
            <w:r>
              <w:rPr>
                <w:rFonts w:ascii="Arial" w:cs="Arial" w:eastAsia="Arial" w:hAnsi="Arial"/>
                <w:color w:val="1155CC"/>
                <w:sz w:val="15"/>
                <w:szCs w:val="15"/>
              </w:rPr>
              <w:t xml:space="preserve">https://www.icac.org.hk/en/index.html</w:t>
            </w:r>
          </w:p>
          <w:p>
            <w:pPr>
              <w:spacing w:after="10" w:before="10"/>
            </w:pPr>
            <w:r>
              <w:rPr>
                <w:rFonts w:ascii="Arial" w:cs="Arial" w:eastAsia="Arial" w:hAnsi="Arial"/>
                <w:b/>
                <w:bCs/>
                <w:color w:val="555555"/>
                <w:sz w:val="15"/>
                <w:szCs w:val="15"/>
              </w:rPr>
              <w:t xml:space="preserve">[5] Transparency International — CPI 2024 Ecuador: </w:t>
            </w:r>
            <w:r>
              <w:rPr>
                <w:rFonts w:ascii="Arial" w:cs="Arial" w:eastAsia="Arial" w:hAnsi="Arial"/>
                <w:color w:val="1155CC"/>
                <w:sz w:val="15"/>
                <w:szCs w:val="15"/>
              </w:rPr>
              <w:t xml:space="preserve">https://www.transparency.org/en/countries/ecuador</w:t>
            </w:r>
          </w:p>
          <w:p>
            <w:pPr>
              <w:spacing w:after="10" w:before="10"/>
            </w:pPr>
            <w:r>
              <w:rPr>
                <w:rFonts w:ascii="Arial" w:cs="Arial" w:eastAsia="Arial" w:hAnsi="Arial"/>
                <w:b/>
                <w:bCs/>
                <w:color w:val="555555"/>
                <w:sz w:val="15"/>
                <w:szCs w:val="15"/>
              </w:rPr>
              <w:t xml:space="preserve">[6] UNODC — UNCAC y mecanismos de revisión: </w:t>
            </w:r>
            <w:r>
              <w:rPr>
                <w:rFonts w:ascii="Arial" w:cs="Arial" w:eastAsia="Arial" w:hAnsi="Arial"/>
                <w:color w:val="1155CC"/>
                <w:sz w:val="15"/>
                <w:szCs w:val="15"/>
              </w:rPr>
              <w:t xml:space="preserve">https://www.unodc.org/unodc/en/corruption/uncac.html</w:t>
            </w:r>
          </w:p>
          <w:p>
            <w:pPr>
              <w:spacing w:after="10" w:before="10"/>
            </w:pPr>
            <w:r>
              <w:rPr>
                <w:rFonts w:ascii="Arial" w:cs="Arial" w:eastAsia="Arial" w:hAnsi="Arial"/>
                <w:b/>
                <w:bCs/>
                <w:color w:val="555555"/>
                <w:sz w:val="15"/>
                <w:szCs w:val="15"/>
              </w:rPr>
              <w:t xml:space="preserve">[7] OEA-MESICIC — Seguimiento anticorrupción Ecuador: </w:t>
            </w:r>
            <w:r>
              <w:rPr>
                <w:rFonts w:ascii="Arial" w:cs="Arial" w:eastAsia="Arial" w:hAnsi="Arial"/>
                <w:color w:val="1155CC"/>
                <w:sz w:val="15"/>
                <w:szCs w:val="15"/>
              </w:rPr>
              <w:t xml:space="preserve">https://www.oas.org/juridico/spanish/mesicic_intro_sp.htm</w:t>
            </w:r>
          </w:p>
          <w:p>
            <w:pPr>
              <w:spacing w:after="10" w:before="10"/>
            </w:pPr>
            <w:r>
              <w:rPr>
                <w:rFonts w:ascii="Arial" w:cs="Arial" w:eastAsia="Arial" w:hAnsi="Arial"/>
                <w:b/>
                <w:bCs/>
                <w:color w:val="555555"/>
                <w:sz w:val="15"/>
                <w:szCs w:val="15"/>
              </w:rPr>
              <w:t xml:space="preserve">[8] Constitución de la República del Ecuador 2008: </w:t>
            </w:r>
            <w:r>
              <w:rPr>
                <w:rFonts w:ascii="Arial" w:cs="Arial" w:eastAsia="Arial" w:hAnsi="Arial"/>
                <w:color w:val="1155CC"/>
                <w:sz w:val="15"/>
                <w:szCs w:val="15"/>
              </w:rPr>
              <w:t xml:space="preserve">https://www.registroficial.gob.ec</w:t>
            </w:r>
          </w:p>
          <w:p>
            <w:pPr>
              <w:spacing w:after="10" w:before="10"/>
            </w:pPr>
            <w:r>
              <w:rPr>
                <w:rFonts w:ascii="Arial" w:cs="Arial" w:eastAsia="Arial" w:hAnsi="Arial"/>
                <w:b/>
                <w:bCs/>
                <w:color w:val="555555"/>
                <w:sz w:val="15"/>
                <w:szCs w:val="15"/>
              </w:rPr>
              <w:t xml:space="preserve">[9] Código Orgánico de la Función Judicial Ecuador: </w:t>
            </w:r>
            <w:r>
              <w:rPr>
                <w:rFonts w:ascii="Arial" w:cs="Arial" w:eastAsia="Arial" w:hAnsi="Arial"/>
                <w:color w:val="1155CC"/>
                <w:sz w:val="15"/>
                <w:szCs w:val="15"/>
              </w:rPr>
              <w:t xml:space="preserve">https://www.funcionjudicial.gob.ec</w:t>
            </w:r>
          </w:p>
          <w:p>
            <w:pPr>
              <w:spacing w:after="10" w:before="10"/>
            </w:pPr>
            <w:r>
              <w:rPr>
                <w:rFonts w:ascii="Arial" w:cs="Arial" w:eastAsia="Arial" w:hAnsi="Arial"/>
                <w:b/>
                <w:bCs/>
                <w:color w:val="555555"/>
                <w:sz w:val="15"/>
                <w:szCs w:val="15"/>
              </w:rPr>
              <w:t xml:space="preserve">[10] EFIA-EC — Estrategia IA Ecuador 2026: </w:t>
            </w:r>
            <w:r>
              <w:rPr>
                <w:rFonts w:ascii="Arial" w:cs="Arial" w:eastAsia="Arial" w:hAnsi="Arial"/>
                <w:color w:val="1155CC"/>
                <w:sz w:val="15"/>
                <w:szCs w:val="15"/>
              </w:rPr>
              <w:t xml:space="preserve">https://www.telecomunicaciones.gob.ec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after="0" w:before="160"/>
      <w:jc w:val="right"/>
    </w:pPr>
    <w:r>
      <w:rPr>
        <w:rFonts w:ascii="Arial" w:cs="Arial" w:eastAsia="Arial" w:hAnsi="Arial"/>
        <w:color w:val="666666"/>
        <w:sz w:val="18"/>
        <w:szCs w:val="18"/>
      </w:rPr>
      <w:t xml:space="preserve">Página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1"/>
      </w:pBdr>
      <w:spacing w:after="160" w:before="0"/>
    </w:pPr>
    <w:r>
      <w:rPr>
        <w:rFonts w:ascii="Arial" w:cs="Arial" w:eastAsia="Arial" w:hAnsi="Arial"/>
        <w:color w:val="666666"/>
        <w:sz w:val="18"/>
        <w:szCs w:val="18"/>
      </w:rPr>
      <w:t xml:space="preserve">SNIP Ecuador — Reforma del Ecosistema Institucional de Control  |  Desconcentración de Poderes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0D1F3C"/>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0D1F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2026-03-15T17:15:17.423Z</dcterms:created>
  <dcterms:modified xsi:type="dcterms:W3CDTF">2026-03-15T17:15:17.424Z</dcterms:modified>
</cp:coreProperties>
</file>

<file path=docProps/custom.xml><?xml version="1.0" encoding="utf-8"?>
<Properties xmlns="http://schemas.openxmlformats.org/officeDocument/2006/custom-properties" xmlns:vt="http://schemas.openxmlformats.org/officeDocument/2006/docPropsVTypes"/>
</file>