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0D1F3C"/>
          <w:sz w:val="52"/>
          <w:szCs w:val="52"/>
        </w:rPr>
        <w:t xml:space="preserve">HOJA DE RUTA MAESTRA DE REFORMAS</w:t>
      </w:r>
    </w:p>
    <w:p>
      <w:pPr>
        <w:spacing w:after="240" w:before="0"/>
        <w:jc w:val="center"/>
      </w:pPr>
      <w:r>
        <w:rPr>
          <w:rFonts w:ascii="Arial" w:cs="Arial" w:eastAsia="Arial" w:hAnsi="Arial"/>
          <w:i/>
          <w:iCs/>
          <w:color w:val="444444"/>
          <w:sz w:val="22"/>
          <w:szCs w:val="22"/>
        </w:rPr>
        <w:t xml:space="preserve">Ecosistema institucional completo del SNIP — Orden de ejecución, requisitos y leyes</w:t>
      </w:r>
    </w:p>
    <w:p>
      <w:pPr>
        <w:spacing w:after="14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60"/>
        <w:gridCol w:w="260"/>
        <w:gridCol w:w="3260"/>
        <w:gridCol w:w="260"/>
        <w:gridCol w:w="3040"/>
      </w:tblGrid>
      <w:tr>
        <w:tc>
          <w:tcPr>
            <w:tcBorders>
              <w:top w:val="none" w:color="FFFFFF" w:sz="0" w:space="0"/>
              <w:left w:val="none" w:color="FFFFFF" w:sz="0" w:space="0"/>
              <w:bottom w:val="none" w:color="FFFFFF" w:sz="0" w:space="0"/>
              <w:right w:val="none" w:color="FFFFFF" w:sz="0" w:space="0"/>
            </w:tcBorders>
            <w:shd w:fill="7B1111" w:val="clear"/>
            <w:tcMar>
              <w:top w:type="dxa" w:w="160"/>
              <w:left w:type="dxa" w:w="160"/>
              <w:bottom w:type="dxa" w:w="160"/>
              <w:right w:type="dxa" w:w="0"/>
            </w:tcMar>
          </w:tcPr>
          <w:p>
            <w:pPr>
              <w:spacing w:after="30" w:before="0"/>
              <w:jc w:val="center"/>
            </w:pPr>
            <w:r>
              <w:rPr>
                <w:rFonts w:ascii="Arial" w:cs="Arial" w:eastAsia="Arial" w:hAnsi="Arial"/>
                <w:b/>
                <w:bCs/>
                <w:color w:val="FFFFFF"/>
                <w:sz w:val="20"/>
                <w:szCs w:val="20"/>
              </w:rPr>
              <w:t xml:space="preserve">FASE 1</w:t>
            </w:r>
          </w:p>
          <w:p>
            <w:pPr>
              <w:spacing w:after="0" w:before="0"/>
              <w:jc w:val="center"/>
            </w:pPr>
            <w:r>
              <w:rPr>
                <w:rFonts w:ascii="Arial" w:cs="Arial" w:eastAsia="Arial" w:hAnsi="Arial"/>
                <w:color w:val="FFAAAA"/>
                <w:sz w:val="17"/>
                <w:szCs w:val="17"/>
              </w:rPr>
              <w:t xml:space="preserve">Años 1–2 — Base del sistema</w:t>
            </w:r>
          </w:p>
        </w:tc>
        <w:tc>
          <w:tcPr>
            <w:tcW w:type="dxa" w:w="260"/>
            <w:tcBorders>
              <w:top w:val="none" w:color="FFFFFF" w:sz="0" w:space="0"/>
              <w:left w:val="none" w:color="FFFFFF" w:sz="0" w:space="0"/>
              <w:bottom w:val="none" w:color="FFFFFF" w:sz="0" w:space="0"/>
              <w:right w:val="none" w:color="FFFFFF" w:sz="0" w:space="0"/>
            </w:tcBorders>
          </w:tcPr>
          <w:p>
            <w:r>
              <w:rPr>
                <w:sz w:val="20"/>
                <w:szCs w:val="20"/>
              </w:rPr>
              <w:t xml:space="preserve"/>
            </w:r>
          </w:p>
        </w:tc>
        <w:tc>
          <w:tcPr>
            <w:tcBorders>
              <w:top w:val="none" w:color="FFFFFF" w:sz="0" w:space="0"/>
              <w:left w:val="none" w:color="FFFFFF" w:sz="0" w:space="0"/>
              <w:bottom w:val="none" w:color="FFFFFF" w:sz="0" w:space="0"/>
              <w:right w:val="none" w:color="FFFFFF" w:sz="0" w:space="0"/>
            </w:tcBorders>
            <w:shd w:fill="1A3A6B" w:val="clear"/>
            <w:tcMar>
              <w:top w:type="dxa" w:w="160"/>
              <w:left w:type="dxa" w:w="160"/>
              <w:bottom w:type="dxa" w:w="160"/>
              <w:right w:type="dxa" w:w="0"/>
            </w:tcMar>
          </w:tcPr>
          <w:p>
            <w:pPr>
              <w:spacing w:after="30" w:before="0"/>
              <w:jc w:val="center"/>
            </w:pPr>
            <w:r>
              <w:rPr>
                <w:rFonts w:ascii="Arial" w:cs="Arial" w:eastAsia="Arial" w:hAnsi="Arial"/>
                <w:b/>
                <w:bCs/>
                <w:color w:val="FFFFFF"/>
                <w:sz w:val="20"/>
                <w:szCs w:val="20"/>
              </w:rPr>
              <w:t xml:space="preserve">FASE 2</w:t>
            </w:r>
          </w:p>
          <w:p>
            <w:pPr>
              <w:spacing w:after="0" w:before="0"/>
              <w:jc w:val="center"/>
            </w:pPr>
            <w:r>
              <w:rPr>
                <w:rFonts w:ascii="Arial" w:cs="Arial" w:eastAsia="Arial" w:hAnsi="Arial"/>
                <w:color w:val="AABBD4"/>
                <w:sz w:val="17"/>
                <w:szCs w:val="17"/>
              </w:rPr>
              <w:t xml:space="preserve">Años 2–4 — Blindaje institucional</w:t>
            </w:r>
          </w:p>
        </w:tc>
        <w:tc>
          <w:tcPr>
            <w:tcW w:type="dxa" w:w="260"/>
            <w:tcBorders>
              <w:top w:val="none" w:color="FFFFFF" w:sz="0" w:space="0"/>
              <w:left w:val="none" w:color="FFFFFF" w:sz="0" w:space="0"/>
              <w:bottom w:val="none" w:color="FFFFFF" w:sz="0" w:space="0"/>
              <w:right w:val="none" w:color="FFFFFF" w:sz="0" w:space="0"/>
            </w:tcBorders>
          </w:tcPr>
          <w:p>
            <w:r>
              <w:rPr>
                <w:sz w:val="20"/>
                <w:szCs w:val="20"/>
              </w:rPr>
              <w:t xml:space="preserve"/>
            </w:r>
          </w:p>
        </w:tc>
        <w:tc>
          <w:tcPr>
            <w:tcBorders>
              <w:top w:val="none" w:color="FFFFFF" w:sz="0" w:space="0"/>
              <w:left w:val="none" w:color="FFFFFF" w:sz="0" w:space="0"/>
              <w:bottom w:val="none" w:color="FFFFFF" w:sz="0" w:space="0"/>
              <w:right w:val="none" w:color="FFFFFF" w:sz="0" w:space="0"/>
            </w:tcBorders>
            <w:shd w:fill="1A5C2E" w:val="clear"/>
            <w:tcMar>
              <w:top w:type="dxa" w:w="160"/>
              <w:left w:type="dxa" w:w="160"/>
              <w:bottom w:type="dxa" w:w="160"/>
              <w:right w:type="dxa" w:w="160"/>
            </w:tcMar>
          </w:tcPr>
          <w:p>
            <w:pPr>
              <w:spacing w:after="30" w:before="0"/>
              <w:jc w:val="center"/>
            </w:pPr>
            <w:r>
              <w:rPr>
                <w:rFonts w:ascii="Arial" w:cs="Arial" w:eastAsia="Arial" w:hAnsi="Arial"/>
                <w:b/>
                <w:bCs/>
                <w:color w:val="FFFFFF"/>
                <w:sz w:val="20"/>
                <w:szCs w:val="20"/>
              </w:rPr>
              <w:t xml:space="preserve">FASE 3</w:t>
            </w:r>
          </w:p>
          <w:p>
            <w:pPr>
              <w:spacing w:after="0" w:before="0"/>
              <w:jc w:val="center"/>
            </w:pPr>
            <w:r>
              <w:rPr>
                <w:rFonts w:ascii="Arial" w:cs="Arial" w:eastAsia="Arial" w:hAnsi="Arial"/>
                <w:color w:val="CCEECC"/>
                <w:sz w:val="17"/>
                <w:szCs w:val="17"/>
              </w:rPr>
              <w:t xml:space="preserve">Años 4–12 — Consolidación</w:t>
            </w:r>
          </w:p>
        </w:tc>
      </w:tr>
    </w:tbl>
    <w:p>
      <w:pPr>
        <w:spacing w:after="140" w:before="0"/>
      </w:pPr>
      <w:r>
        <w:rPr>
          <w:sz w:val="20"/>
          <w:szCs w:val="20"/>
        </w:rPr>
        <w:t xml:space="preserve"/>
      </w:r>
    </w:p>
    <w:p>
      <w:pPr>
        <w:spacing w:after="0" w:before="0"/>
        <w:jc w:val="center"/>
      </w:pPr>
      <w:r>
        <w:rPr>
          <w:rFonts w:ascii="Arial" w:cs="Arial" w:eastAsia="Arial" w:hAnsi="Arial"/>
          <w:color w:val="888888"/>
          <w:sz w:val="18"/>
          <w:szCs w:val="18"/>
        </w:rPr>
        <w:t xml:space="preserve">Documento de Trabajo 14 — Sistema SNIP  |  República del Ecuador  |  Marzo 2026</w:t>
      </w:r>
    </w:p>
    <w:p>
      <w:r>
        <w:br w:type="page"/>
      </w:r>
    </w:p>
    <w:p>
      <w:pPr>
        <w:pStyle w:val="Heading1"/>
        <w:spacing w:after="200" w:before="500"/>
      </w:pPr>
      <w:r>
        <w:rPr>
          <w:rFonts w:ascii="Arial" w:cs="Arial" w:eastAsia="Arial" w:hAnsi="Arial"/>
          <w:b/>
          <w:bCs/>
          <w:color w:val="0D1F3C"/>
          <w:sz w:val="40"/>
          <w:szCs w:val="40"/>
        </w:rPr>
        <w:t xml:space="preserve">RESUMEN EJECUTIVO</w:t>
      </w:r>
    </w:p>
    <w:p>
      <w:pPr>
        <w:spacing w:after="160" w:before="0" w:line="340" w:lineRule="auto"/>
        <w:jc w:val="both"/>
      </w:pPr>
      <w:r>
        <w:rPr>
          <w:rFonts w:ascii="Arial" w:cs="Arial" w:eastAsia="Arial" w:hAnsi="Arial"/>
          <w:sz w:val="22"/>
          <w:szCs w:val="22"/>
        </w:rPr>
        <w:t xml:space="preserve">Este documento integra en un solo lugar todas las reformas, modificaciones legislativas y creaciones institucionales necesarias para implementar el ecosistema completo del SNIP en Ecuador. Está organizado en tres fases de implementación con orden de ejecución definido, requisitos previos verificables, instrumento legal específico, mayoría requerida y condición de éxito medible para cada reforma.</w:t>
      </w:r>
    </w:p>
    <w:p>
      <w:pPr>
        <w:spacing w:after="160" w:before="0" w:line="340" w:lineRule="auto"/>
        <w:jc w:val="both"/>
      </w:pPr>
      <w:r>
        <w:rPr>
          <w:rFonts w:ascii="Arial" w:cs="Arial" w:eastAsia="Arial" w:hAnsi="Arial"/>
          <w:sz w:val="22"/>
          <w:szCs w:val="22"/>
        </w:rPr>
        <w:t xml:space="preserve">El principio organizador es simple: ninguna reforma de una fase posterior puede implementarse sin que las reformas de la fase anterior estén consolidadas. El orden no es arbitrario. Cada reforma crea las condiciones políticas, institucionales y ciudadanas que hacen posible la siguiente.</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PRINCIPIO RECTOR: Ecuador necesita instituciones fuertes, no líderes fuertes. Este documento es el mapa para construirlas.</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MAPA COMPLETO — TODAS LAS REFORMAS</w:t>
      </w:r>
    </w:p>
    <w:p>
      <w:pPr>
        <w:spacing w:after="14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800"/>
        <w:gridCol w:w="2400"/>
        <w:gridCol w:w="1200"/>
        <w:gridCol w:w="800"/>
      </w:tblGrid>
      <w:tr>
        <w:tc>
          <w:tcPr>
            <w:tcBorders>
              <w:top w:val="single" w:color="BBBBBB" w:sz="4" w:space="0"/>
              <w:left w:val="single" w:color="BBBBBB" w:sz="4" w:space="0"/>
              <w:bottom w:val="single" w:color="BBBBBB" w:sz="4" w:space="0"/>
              <w:right w:val="single" w:color="BBBBBB" w:sz="4" w:space="0"/>
            </w:tcBorders>
            <w:shd w:fill="0D1F3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N°</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REFORMA</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TIPO</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LEY / INSTRUMENTO</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MAYORÍA</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AÑO</w:t>
            </w:r>
          </w:p>
        </w:tc>
      </w:tr>
      <w:tr>
        <w:tc>
          <w:tcPr>
            <w:gridSpan w:val="6"/>
            <w:tcBorders>
              <w:top w:val="single" w:color="BBBBBB" w:sz="4" w:space="0"/>
              <w:left w:val="single" w:color="BBBBBB" w:sz="4" w:space="0"/>
              <w:bottom w:val="single" w:color="BBBBBB" w:sz="4" w:space="0"/>
              <w:right w:val="single" w:color="BBBBBB" w:sz="4"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FASE 1 — BASE DEL SISTEMA (Años 1–2)</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Ley Orgánica de Creación del SNIP</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1</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2</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Reforma LOTAIP — Transparencia activa con sanción</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LOTAIP vigente</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1</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3</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Ley de Declaración Digital de Patrimonio</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1</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4</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Reforma COIP — Inversión carga de la prueba</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COIP vigente</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2</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5</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Ley de Protección al Denunciante</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2</w:t>
            </w:r>
          </w:p>
        </w:tc>
      </w:tr>
      <w:tr>
        <w:tc>
          <w:tcPr>
            <w:tcW w:type="dxa" w:w="400"/>
            <w:tcBorders>
              <w:top w:val="single" w:color="BBBBBB" w:sz="4" w:space="0"/>
              <w:left w:val="single" w:color="BBBBBB" w:sz="4" w:space="0"/>
              <w:bottom w:val="single" w:color="BBBBBB" w:sz="4" w:space="0"/>
              <w:right w:val="single" w:color="BBBBBB" w:sz="4" w:space="0"/>
            </w:tcBorders>
            <w:shd w:fill="7B1111"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6</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7B1111"/>
                <w:sz w:val="18"/>
                <w:szCs w:val="18"/>
              </w:rPr>
              <w:t xml:space="preserve">Suspensión de funciones durante investigación</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COIP + Ley SNIP</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DECEA" w:val="clear"/>
            <w:tcMar>
              <w:top w:type="dxa" w:w="80"/>
              <w:left w:type="dxa" w:w="80"/>
              <w:bottom w:type="dxa" w:w="80"/>
              <w:right w:type="dxa" w:w="80"/>
            </w:tcMar>
          </w:tcPr>
          <w:p>
            <w:pPr>
              <w:spacing w:after="0" w:before="0"/>
              <w:jc w:val="center"/>
            </w:pPr>
            <w:r>
              <w:rPr>
                <w:rFonts w:ascii="Arial" w:cs="Arial" w:eastAsia="Arial" w:hAnsi="Arial"/>
                <w:b/>
                <w:bCs/>
                <w:color w:val="7B1111"/>
                <w:sz w:val="16"/>
                <w:szCs w:val="16"/>
              </w:rPr>
              <w:t xml:space="preserve">Año 2</w:t>
            </w:r>
          </w:p>
        </w:tc>
      </w:tr>
      <w:tr>
        <w:tc>
          <w:tcPr>
            <w:gridSpan w:val="6"/>
            <w:tcBorders>
              <w:top w:val="single" w:color="BBBBBB" w:sz="4" w:space="0"/>
              <w:left w:val="single" w:color="BBBBBB" w:sz="4" w:space="0"/>
              <w:bottom w:val="single" w:color="BBBBBB" w:sz="4" w:space="0"/>
              <w:right w:val="single" w:color="BBBBBB" w:sz="4"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FASE 2 — BLINDAJE INSTITUCIONAL (Años 2–4)</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7</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Reforma LOSNCP — Eliminar regímenes excepción</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LOSNCP vigente</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3</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8</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Ley de Financiamiento Político Transparente</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3</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9</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Designación Fiscal, Contralor y Defensor — 3 filtros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Ref. constitucional + COFJ</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 votos + ref.</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3</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10</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Reforma constitucional — Presupuesto fijo organismos control</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Constitución Arts. 204–215</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 votos + ref.</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4</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11</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Reforma Consejo Judicatura — Dos cámaras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COFJ + Constitución</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 votos + ref.</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4</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12</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Tribunal de Cinco para casos presidenciales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Ley SNIP + Constitución</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 votos + ref.</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4</w:t>
            </w:r>
          </w:p>
        </w:tc>
      </w:tr>
      <w:tr>
        <w:tc>
          <w:tcPr>
            <w:tcW w:type="dxa" w:w="400"/>
            <w:tcBorders>
              <w:top w:val="single" w:color="BBBBBB" w:sz="4" w:space="0"/>
              <w:left w:val="single" w:color="BBBBBB" w:sz="4" w:space="0"/>
              <w:bottom w:val="single" w:color="BBBBBB" w:sz="4" w:space="0"/>
              <w:right w:val="single" w:color="BBBBBB" w:sz="4" w:space="0"/>
            </w:tcBorders>
            <w:shd w:fill="1A3A6B"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13</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3A6B"/>
                <w:sz w:val="18"/>
                <w:szCs w:val="18"/>
              </w:rPr>
              <w:t xml:space="preserve">Ley de Interoperabilidad del Estado ISO 20022</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FEF9E7" w:val="clear"/>
            <w:tcMar>
              <w:top w:type="dxa" w:w="80"/>
              <w:left w:type="dxa" w:w="80"/>
              <w:bottom w:type="dxa" w:w="80"/>
              <w:right w:type="dxa" w:w="80"/>
            </w:tcMar>
          </w:tcPr>
          <w:p>
            <w:pPr>
              <w:spacing w:after="0" w:before="0"/>
              <w:jc w:val="center"/>
            </w:pPr>
            <w:r>
              <w:rPr>
                <w:rFonts w:ascii="Arial" w:cs="Arial" w:eastAsia="Arial" w:hAnsi="Arial"/>
                <w:b/>
                <w:bCs/>
                <w:color w:val="1A3A6B"/>
                <w:sz w:val="16"/>
                <w:szCs w:val="16"/>
              </w:rPr>
              <w:t xml:space="preserve">Año 4</w:t>
            </w:r>
          </w:p>
        </w:tc>
      </w:tr>
      <w:tr>
        <w:tc>
          <w:tcPr>
            <w:gridSpan w:val="6"/>
            <w:tcBorders>
              <w:top w:val="single" w:color="BBBBBB" w:sz="4" w:space="0"/>
              <w:left w:val="single" w:color="BBBBBB" w:sz="4" w:space="0"/>
              <w:bottom w:val="single" w:color="BBBBBB" w:sz="4" w:space="0"/>
              <w:right w:val="single" w:color="BBBBBB" w:sz="4"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FASE 3 — CONSOLIDACIÓN Y LARGO PLAZO (Años 4–12)</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14</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Reforma Corte Constitucional — Proceso 3 filtros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Ref. constitucional</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101+ref.+CC</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5–6</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15</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Sala especializada anticorrupción — Poder Judicial</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COFJ</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5</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16</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Reforma Código Democracia — Listas abiertas e incompatibilidades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REFORMAR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Código Democracia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5</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17</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Servicio civil profesional — Carrera del Estado</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6–8</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18</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Plan Nacional Estructural — Rango constitucional</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Ref. constitucional</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101 votos + ref.</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7–10</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19</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Auditoría estructural del Estado — funciones duplicadas</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Decreto + Ley SNIP</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Ejecutivo + 77</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8–10</w:t>
            </w:r>
          </w:p>
        </w:tc>
      </w:tr>
      <w:tr>
        <w:tc>
          <w:tcPr>
            <w:tcW w:type="dxa" w:w="400"/>
            <w:tcBorders>
              <w:top w:val="single" w:color="BBBBBB" w:sz="4" w:space="0"/>
              <w:left w:val="single" w:color="BBBBBB" w:sz="4" w:space="0"/>
              <w:bottom w:val="single" w:color="BBBBBB" w:sz="4" w:space="0"/>
              <w:right w:val="single" w:color="BBBBBB" w:sz="4" w:space="0"/>
            </w:tcBorders>
            <w:shd w:fill="1A5C2E"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20</w:t>
            </w:r>
          </w:p>
        </w:tc>
        <w:tc>
          <w:tcPr>
            <w:tcW w:type="dxa" w:w="25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b/>
                <w:bCs/>
                <w:color w:val="1A5C2E"/>
                <w:sz w:val="18"/>
                <w:szCs w:val="18"/>
              </w:rPr>
              <w:t xml:space="preserve">Escuela Nacional de Administración Pública</w:t>
            </w:r>
          </w:p>
        </w:tc>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CREAR</w:t>
            </w:r>
          </w:p>
        </w:tc>
        <w:tc>
          <w:tcPr>
            <w:tcW w:type="dxa" w:w="2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Arial" w:cs="Arial" w:eastAsia="Arial" w:hAnsi="Arial"/>
                <w:sz w:val="16"/>
                <w:szCs w:val="16"/>
              </w:rPr>
              <w:t xml:space="preserve">Nueva Ley Orgánica</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80"/>
              <w:bottom w:type="dxa" w:w="80"/>
              <w:right w:type="dxa" w:w="80"/>
            </w:tcMar>
          </w:tcPr>
          <w:p>
            <w:pPr>
              <w:spacing w:after="0" w:before="0"/>
              <w:jc w:val="center"/>
            </w:pPr>
            <w:r>
              <w:rPr>
                <w:rFonts w:ascii="Arial" w:cs="Arial" w:eastAsia="Arial" w:hAnsi="Arial"/>
                <w:sz w:val="16"/>
                <w:szCs w:val="16"/>
              </w:rPr>
              <w:t xml:space="preserve">77 votos</w:t>
            </w:r>
          </w:p>
        </w:tc>
        <w:tc>
          <w:tcPr>
            <w:tcW w:type="dxa" w:w="800"/>
            <w:tcBorders>
              <w:top w:val="single" w:color="BBBBBB" w:sz="4" w:space="0"/>
              <w:left w:val="single" w:color="BBBBBB" w:sz="4" w:space="0"/>
              <w:bottom w:val="single" w:color="BBBBBB" w:sz="4" w:space="0"/>
              <w:right w:val="single" w:color="BBBBBB" w:sz="4" w:space="0"/>
            </w:tcBorders>
            <w:shd w:fill="E8F5E9" w:val="clear"/>
            <w:tcMar>
              <w:top w:type="dxa" w:w="80"/>
              <w:left w:type="dxa" w:w="80"/>
              <w:bottom w:type="dxa" w:w="80"/>
              <w:right w:type="dxa" w:w="80"/>
            </w:tcMar>
          </w:tcPr>
          <w:p>
            <w:pPr>
              <w:spacing w:after="0" w:before="0"/>
              <w:jc w:val="center"/>
            </w:pPr>
            <w:r>
              <w:rPr>
                <w:rFonts w:ascii="Arial" w:cs="Arial" w:eastAsia="Arial" w:hAnsi="Arial"/>
                <w:b/>
                <w:bCs/>
                <w:color w:val="1A5C2E"/>
                <w:sz w:val="16"/>
                <w:szCs w:val="16"/>
              </w:rPr>
              <w:t xml:space="preserve">Año 10–12</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FASE 1 — BASE DEL SISTEMA (Años 1–2)</w:t>
      </w:r>
    </w:p>
    <w:p>
      <w:pPr>
        <w:spacing w:after="160" w:before="0" w:line="340" w:lineRule="auto"/>
        <w:jc w:val="both"/>
      </w:pPr>
      <w:r>
        <w:rPr>
          <w:rFonts w:ascii="Arial" w:cs="Arial" w:eastAsia="Arial" w:hAnsi="Arial"/>
          <w:sz w:val="22"/>
          <w:szCs w:val="22"/>
        </w:rPr>
        <w:t xml:space="preserve">Sin estas seis reformas el SNIP no puede existir legalmente ni operar. Son la condición mínima para que todo lo demás sea posible. Se presentan como paquete indivisible para evitar que algunas mueran en comisión mientras las otras avanzan.</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CONDICIÓN DE ENTRADA A FASE 1: 20.000 ciudadanos que entienden y demandan el SNIP. Diagnóstico técnico-jurídico financiado por cooperación internacional. Consulta previa a la Corte Constitucional sobre constitucionalidad de cada reforma.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 — Ley Orgánica de Creación del SNIP</w:t>
            </w:r>
            <w:r>
              <w:rPr>
                <w:rFonts w:ascii="Arial" w:cs="Arial" w:eastAsia="Arial" w:hAnsi="Arial"/>
                <w:color w:val="DDDDFF"/>
                <w:sz w:val="17"/>
                <w:szCs w:val="17"/>
              </w:rPr>
              <w:t xml:space="preserve">  |  Nueva Ley Orgánica  |  77 votos en la Asamblea</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El SNIP no existe legalmente. Sin esta ley todo el diseño es solo una propuesta académica.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Crear el SNIP como quinta función constitucional horizontal autónoma. Directorio por sorteo ciudadano. Presupuesto 0.3% PGE protegido. Modificación requiere tres candados simultáneos.</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Respaldo ciudadano mínimo + consulta a la Corte Constitucional</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SNIP legalmente constituido con directorio posesionado y presupuesto asignado.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R2 — Reforma LOTAIP — Transparencia activa con mecanismo sancionador</w:t>
            </w:r>
            <w:r>
              <w:rPr>
                <w:rFonts w:ascii="Arial" w:cs="Arial" w:eastAsia="Arial" w:hAnsi="Arial"/>
                <w:color w:val="DDDDFF"/>
                <w:sz w:val="17"/>
                <w:szCs w:val="17"/>
              </w:rPr>
              <w:t xml:space="preserve">  |  Reforma a LOTAIP vigente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La LOTAIP existe pero sin sanción real. Las instituciones publican información desactualizada sin consecuencia.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Multas automáticas por incumplimiento. Defensor del Pueblo con poder coercitivo ejecutable. Formatos de datos abiertos ISO 20022 obligatorios. Derecho ciudadano a impugnar información incompleta ante el SNIP.</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Ley del SNIP aprobada</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100% de instituciones del Estado con información actualizada en formato abierto verificable.</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R3 — Ley de Declaración Digital de Patrimonio e Intereses</w:t>
            </w:r>
            <w:r>
              <w:rPr>
                <w:rFonts w:ascii="Arial" w:cs="Arial" w:eastAsia="Arial" w:hAnsi="Arial"/>
                <w:color w:val="DDDDFF"/>
                <w:sz w:val="17"/>
                <w:szCs w:val="17"/>
              </w:rPr>
              <w:t xml:space="preserve">  |  Nueva Ley Orgánica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Las declaraciones de patrimonio existen en papel y nadie las analiza sistemáticamente.</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Declaración digital estructurada al inicio, durante y al final de cada cargo. Pública y comparable año a año. Cruce automático con SRI, SERCOP y sistema financiero. Cónyuge e hijos dependientes incluidos.</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Módulo financiero del SNIP operativo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100% de funcionarios con cargo electo o designado con declaración digital activa.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R4 — Reforma COIP — Inversión parcial de carga de la prueba en enriquecimiento ilícito</w:t>
            </w:r>
            <w:r>
              <w:rPr>
                <w:rFonts w:ascii="Arial" w:cs="Arial" w:eastAsia="Arial" w:hAnsi="Arial"/>
                <w:color w:val="DDDDFF"/>
                <w:sz w:val="17"/>
                <w:szCs w:val="17"/>
              </w:rPr>
              <w:t xml:space="preserve">  |  Reforma al COIP vigente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Actualmente la Fiscalía debe probar el origen ilícito. En casos complejos eso es casi imposible y genera impunidad.</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Si un funcionario posee bienes cuyo valor supera en más del 30% su patrimonio declarado al inicio del cargo y no puede justificar el origen lícito en 90 días, ese diferencial es presunción de enriquecimiento ilícito que invierte la carga probatoria.</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Ley de Declaración Digital aprobada y operativa</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Primeros casos de enriquecimiento ilícito procesados con el nuevo mecanismo.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R5 — Ley de Protección al Denunciante</w:t>
            </w:r>
            <w:r>
              <w:rPr>
                <w:rFonts w:ascii="Arial" w:cs="Arial" w:eastAsia="Arial" w:hAnsi="Arial"/>
                <w:color w:val="DDDDFF"/>
                <w:sz w:val="17"/>
                <w:szCs w:val="17"/>
              </w:rPr>
              <w:t xml:space="preserve">  |  Nueva Ley Orgánica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Ecuador no tiene ley efectiva de protección al denunciante. El resultado es que nadie denuncia.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Anonimato técnico protegido con cifrado de extremo a extremo. Imposibilidad de despido o sanción laboral por denuncia de buena fe. Asesoría jurídica gratuita del Estado. Compensación del 5–10% de bienes recuperados en casos confirmados.</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operativo con módulo de denuncias activo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Aumento verificable de denuncias ciudadanas documentadas en el portal del SNIP.</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R6 — Suspensión de funciones específicas durante investigación</w:t>
            </w:r>
            <w:r>
              <w:rPr>
                <w:rFonts w:ascii="Arial" w:cs="Arial" w:eastAsia="Arial" w:hAnsi="Arial"/>
                <w:color w:val="DDDDFF"/>
                <w:sz w:val="17"/>
                <w:szCs w:val="17"/>
              </w:rPr>
              <w:t xml:space="preserve">  |  Reforma COIP + Ley SNIP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Actualmente el investigado sigue ejerciendo todo su poder sobre el área investigada mientras dura el proceso.</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Cuando el SNIP genera alerta de nivel alto y la Fiscalía la acepta formalmente, el funcionario queda suspendido solo de las funciones directamente relacionadas con la investigación. El subrogante legal asume esas funciones específicas. Si la Fiscalía no resuelve en el plazo legal sin justificación, la suspensión se levanta automáticamente.</w:t>
            </w:r>
          </w:p>
        </w:tc>
      </w:tr>
      <w:tr>
        <w:tc>
          <w:tcPr>
            <w:tcBorders>
              <w:top w:val="none" w:color="FFFFFF" w:sz="0" w:space="0"/>
              <w:left w:val="none" w:color="FFFFFF" w:sz="0" w:space="0"/>
              <w:bottom w:val="single" w:color="7B1111"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Fiscalía con capacidad técnica para procesar alertas del SNIP</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Cero casos donde el investigado firma contratos o maneja presupuesto en el área investigada.</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FASE 2 — BLINDAJE INSTITUCIONAL (Años 2–4)</w:t>
      </w:r>
    </w:p>
    <w:p>
      <w:pPr>
        <w:spacing w:after="160" w:before="0" w:line="340" w:lineRule="auto"/>
        <w:jc w:val="both"/>
      </w:pPr>
      <w:r>
        <w:rPr>
          <w:rFonts w:ascii="Arial" w:cs="Arial" w:eastAsia="Arial" w:hAnsi="Arial"/>
          <w:sz w:val="22"/>
          <w:szCs w:val="22"/>
        </w:rPr>
        <w:t xml:space="preserve">Estas reformas fortalecen el ecosistema alrededor del SNIP. Requieren que el sistema base esté operativo porque la evidencia que genera es el argumento político más poderoso para impulsarlas.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CONDICIÓN DE ENTRADA A FASE 2: SNIP operativo con al menos 6 meses de funcionamiento. Primeros casos documentados de inacción institucional publicados en el portal ciudadano. Respaldo ciudadano de 50.000+. Apoyo formal de al menos un organismo internacional.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R7 — Reforma LOSNCP — Eliminación de regímenes de excepción</w:t>
            </w:r>
            <w:r>
              <w:rPr>
                <w:rFonts w:ascii="Arial" w:cs="Arial" w:eastAsia="Arial" w:hAnsi="Arial"/>
                <w:color w:val="DDDDFF"/>
                <w:sz w:val="17"/>
                <w:szCs w:val="17"/>
              </w:rPr>
              <w:t xml:space="preserve">  |  Reforma a LOSNCP vigente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Los artículos de emergencia y régimen especial son la principal puerta de entrada a la corrupción en contratación pública.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Causales de emergencia definidas taxativamente. Toda contratación de emergencia reportada al SNIP en 24 horas. Imprescriptibilidad de acción penal en contratos bajo emergencia. Auditoría automática del SNIP en 90 días posteriores.</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con módulo SERCOP activo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Reducción verificable de contratos adjudicados bajo régimen de excepción.</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R8 — Ley de Financiamiento Político Transparente</w:t>
            </w:r>
            <w:r>
              <w:rPr>
                <w:rFonts w:ascii="Arial" w:cs="Arial" w:eastAsia="Arial" w:hAnsi="Arial"/>
                <w:color w:val="DDDDFF"/>
                <w:sz w:val="17"/>
                <w:szCs w:val="17"/>
              </w:rPr>
              <w:t xml:space="preserve">  |  Nueva Ley Orgánica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La corrupción institucional nace en el financiamiento ilegal de campañas. Sin esta ley todos los demás controles son insuficientes.</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Declaración en tiempo real de aportaciones mayores a $1.000. Prohibición de donaciones de empresas con contratos del Estado. Cruce automático con módulo financiero del SNIP. Financiamiento ilícito como delito autónomo con inhabilitación permanente.</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CNE con sistema digital de declaración activo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100% de campañas con declaración de financiamiento verificable en tiempo real.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R9 — Designación Fiscal, Contralor y Defensor con proceso de tres filtros</w:t>
            </w:r>
            <w:r>
              <w:rPr>
                <w:rFonts w:ascii="Arial" w:cs="Arial" w:eastAsia="Arial" w:hAnsi="Arial"/>
                <w:color w:val="DDDDFF"/>
                <w:sz w:val="17"/>
                <w:szCs w:val="17"/>
              </w:rPr>
              <w:t xml:space="preserve">  |  Reforma constitucional + COFJ  |  101 votos + referéndum</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Los tres organismos que ejecutan las alertas del SNIP pueden ser capturados políticamente en su proceso de designación.</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Filtro 1: panel técnico internacional (Comisión de Venecia + CIDH + universidades). Filtro 2: escrutinio público 45 días con objeciones ciudadanas. Filtro 3: ratificación Asamblea con mayoría calificada inversa — solo puede rechazar candidatos del proceso, no proponer propios.</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con evidencia documentada de inacción de esos organismos</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Fiscal, Contralor y Defensor designados por el nuevo proceso con veeduría internacional.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R10 — Reforma constitucional — Presupuesto fijo para organismos de control</w:t>
            </w:r>
            <w:r>
              <w:rPr>
                <w:rFonts w:ascii="Arial" w:cs="Arial" w:eastAsia="Arial" w:hAnsi="Arial"/>
                <w:color w:val="DDDDFF"/>
                <w:sz w:val="17"/>
                <w:szCs w:val="17"/>
              </w:rPr>
              <w:t xml:space="preserve">  |  Reforma constitucional Arts. 204–215  |  101 votos + referéndum</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La independencia declarada sin independencia financiera es una ficción. El gobierno puede asfixiar a los organismos que lo controlan reduciendo su presupuesto.</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SNIP, Contraloría y Fiscalía tienen asignación constitucional como porcentaje fijo del PGE. No reducible sin mayoría calificada + informe técnico de la Corte Constitucional. Cualquier reducción aplica el mismo porcentaje que al presupuesto presidencial.</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Respaldo internacional formal + evidencia de asfixia presupuestaria documentada por el SNIP</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Presupuesto de organismos de control protegido ante dos cambios de gobierno consecutivos.</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R11 — Reforma Consejo de la Judicatura — Dos cámaras independientes</w:t>
            </w:r>
            <w:r>
              <w:rPr>
                <w:rFonts w:ascii="Arial" w:cs="Arial" w:eastAsia="Arial" w:hAnsi="Arial"/>
                <w:color w:val="DDDDFF"/>
                <w:sz w:val="17"/>
                <w:szCs w:val="17"/>
              </w:rPr>
              <w:t xml:space="preserve">  |  Reforma COFJ + Constitución  |  101 votos + referéndum</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El Consejo controla a todos los jueces del país. Quien lo captura controla la justicia.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Cámara Técnica (5 miembros por proceso de 3 filtros) — solo evaluación de desempeño y formación. Cámara Disciplinaria (7 miembros por sorteo entre abogados y académicos) — solo procesos disciplinarios. Las dos cámaras operan independientemente sin poder de la una sobre la otra.</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Proceso de 3 filtros aprobado (R9)</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Judicatura con dos cámaras operativas con primera evaluación de desempeño publicada.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R12 — Tribunal de Cinco para investigaciones presidenciales</w:t>
            </w:r>
            <w:r>
              <w:rPr>
                <w:rFonts w:ascii="Arial" w:cs="Arial" w:eastAsia="Arial" w:hAnsi="Arial"/>
                <w:color w:val="DDDDFF"/>
                <w:sz w:val="17"/>
                <w:szCs w:val="17"/>
              </w:rPr>
              <w:t xml:space="preserve">  |  Ley SNIP + Constitución  |  101 votos + referéndum</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Sin este mecanismo el Presidente está en la práctica por encima del sistema de control.</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Cinco miembros con orígenes institucionales distintos: Presidente Corte Nacional, Defensor del Pueblo, presidente comité internacional SNIP, delegado ciudadano sorteado y director del SNIP. Los cinco deben coincidir para autorizar. Ninguno puede bloquear solo.</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consolidado + Defensor con nueva designación (R9)</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Primer caso procesado a través del tribunal con resultado verificable.</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R13 — Ley de Interoperabilidad del Estado — ISO 20022</w:t>
            </w:r>
            <w:r>
              <w:rPr>
                <w:rFonts w:ascii="Arial" w:cs="Arial" w:eastAsia="Arial" w:hAnsi="Arial"/>
                <w:color w:val="DDDDFF"/>
                <w:sz w:val="17"/>
                <w:szCs w:val="17"/>
              </w:rPr>
              <w:t xml:space="preserve">  |  Nueva Ley Orgánica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El SNIP no puede cruzar datos si los sistemas del Estado no comparten información entre sí.</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Todas las instituciones comparten datos con el SNIP en tiempo real mediante APIs en formato ISO 20022. Ninguna puede negarse. Propiedad de los datos es del ciudadano. Incumplimiento es causal de sanción administrativa al titular.</w:t>
            </w:r>
          </w:p>
        </w:tc>
      </w:tr>
      <w:tr>
        <w:tc>
          <w:tcPr>
            <w:tcBorders>
              <w:top w:val="none" w:color="FFFFFF" w:sz="0" w:space="0"/>
              <w:left w:val="none" w:color="FFFFFF" w:sz="0" w:space="0"/>
              <w:bottom w:val="single" w:color="1A3A6B"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Infraestructura técnica del SNIP completamente desplegada</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100% de instituciones del Estado conectadas al SNIP con datos en tiempo real.</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FASE 3 — CONSOLIDACIÓN Y LARGO PLAZO (Años 4–12)</w:t>
      </w:r>
    </w:p>
    <w:p>
      <w:pPr>
        <w:spacing w:after="160" w:before="0" w:line="340" w:lineRule="auto"/>
        <w:jc w:val="both"/>
      </w:pPr>
      <w:r>
        <w:rPr>
          <w:rFonts w:ascii="Arial" w:cs="Arial" w:eastAsia="Arial" w:hAnsi="Arial"/>
          <w:sz w:val="22"/>
          <w:szCs w:val="22"/>
        </w:rPr>
        <w:t xml:space="preserve">Estas reformas construyen el Estado del futuro. Requieren que el ecosistema base esté consolidado porque son estructuralmente más profundas y políticamente más difíciles. No son opcionales pero sí requieren el terreno preparado por las fases anteriores.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CONDICIÓN DE ENTRADA A FASE 3: SNIP con al menos 2 años de operación nacional. Evidencia documentada de impacto en reducción de corrupción. Respaldo ciudadano de 100.000+. Al menos dos organismos internacionales con respaldo formal.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R14 — Reforma Corte Constitucional — Proceso de tres filtros</w:t>
            </w:r>
            <w:r>
              <w:rPr>
                <w:rFonts w:ascii="Arial" w:cs="Arial" w:eastAsia="Arial" w:hAnsi="Arial"/>
                <w:color w:val="DDDDFF"/>
                <w:sz w:val="17"/>
                <w:szCs w:val="17"/>
              </w:rPr>
              <w:t xml:space="preserve">  |  Reforma constitucional  |  101 votos + referéndum + iniciativa ciudadana opcional</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La Corte puede ser capturada políticamente en su proceso de designación. Es el nodo más crítico del sistema.</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Mismo proceso de tres filtros que R9. Sorteo ciudadano final. Ratificación con mayoría calificada inversa de la Asamblea. Mandatos de 9 años no renovables con inicio escalonado de 3 magistrados cada 3 años.</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Proceso de 3 filtros funcionando en Fiscalía y Contraloría (R9) con resultados verificables. Iniciativa ciudadana con 130.000 firmas para evitar bloqueo de la Corte actual.</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Corte Constitucional con primera tanda de magistrados designados por nuevo proceso.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R15 — Sala especializada anticorrupción en el Poder Judicial</w:t>
            </w:r>
            <w:r>
              <w:rPr>
                <w:rFonts w:ascii="Arial" w:cs="Arial" w:eastAsia="Arial" w:hAnsi="Arial"/>
                <w:color w:val="DDDDFF"/>
                <w:sz w:val="17"/>
                <w:szCs w:val="17"/>
              </w:rPr>
              <w:t xml:space="preserve">  |  Reforma al COFJ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Los juicios de corrupción duran 8 años. Las penas altas son simbólicas si nadie es condenado a tiempo.</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Jueces dedicados exclusivamente a casos de corrupción seleccionados por concurso técnico. Plazos máximos: 18 meses para casos simples, 30 meses para casos complejos. Estado de avance público en portal del SNIP.</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Consejo de la Judicatura reformado (R11) operativo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Reducción verificable del tiempo promedio de resolución de casos de corrupción.</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R16 — Reforma Código de la Democracia — Listas abiertas e incompatibilidades</w:t>
            </w:r>
            <w:r>
              <w:rPr>
                <w:rFonts w:ascii="Arial" w:cs="Arial" w:eastAsia="Arial" w:hAnsi="Arial"/>
                <w:color w:val="DDDDFF"/>
                <w:sz w:val="17"/>
                <w:szCs w:val="17"/>
              </w:rPr>
              <w:t xml:space="preserve">  |  Reforma al Código Orgánico Electoral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Los partidos colocan candidatos leales en posiciones seguras independientemente de su calidad.</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Listas abiertas y desbloqueadas. Requisitos técnicos mínimos por comisión legislativa. Incompatibilidades ampliadas: no puede ser candidato quien tenga contratos con el Estado o esté bajo investigación activa del SNIP.</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con módulo de seguimiento institucional activo</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Primera elección con listas abiertas y requisitos técnicos verificados por el SNIP.</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R17 — Servicio civil profesional — Carrera permanente del Estado</w:t>
            </w:r>
            <w:r>
              <w:rPr>
                <w:rFonts w:ascii="Arial" w:cs="Arial" w:eastAsia="Arial" w:hAnsi="Arial"/>
                <w:color w:val="DDDDFF"/>
                <w:sz w:val="17"/>
                <w:szCs w:val="17"/>
              </w:rPr>
              <w:t xml:space="preserve">  |  Nueva Ley Orgánica de Servicio Civil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Cada gobierno reemplaza los técnicos del anterior. El conocimiento institucional se pierde con cada cambio.</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Cuerpo permanente de servidores técnicos que ingresan por concurso riguroso y no pueden ser removidos por decisión política. Evaluación por desempeño, no por lealtad. Permanecen más allá de los ciclos electorales.</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Auditoría previa del Estado existente para no generar redundancias</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Primer concurso nacional de ingreso al servicio civil con veeduría internacional.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R18 — Plan Nacional Estructural con rango constitucional</w:t>
            </w:r>
            <w:r>
              <w:rPr>
                <w:rFonts w:ascii="Arial" w:cs="Arial" w:eastAsia="Arial" w:hAnsi="Arial"/>
                <w:color w:val="DDDDFF"/>
                <w:sz w:val="17"/>
                <w:szCs w:val="17"/>
              </w:rPr>
              <w:t xml:space="preserve">  |  Reforma constitucional  |  101 votos + referéndum</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Cada gobierno abandona los proyectos del anterior. Ecuador lleva décadas construyendo el mismo puente sin terminarlo.</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Plan de 20 años con objetivos estructurales que ningún gobierno puede abandonar porque están en la Constitución. Los planes de cada gobierno deben ser coherentes con ese marco estructural. El SNIP verifica públicamente el cumplimiento.</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Servicio civil profesional operativo (R17) para garantizar continuidad técnica</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Tres gobiernos consecutivos con planes coherentes con la estructura constitucional.</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R19 — Auditoría estructural del Estado — funciones duplicadas</w:t>
            </w:r>
            <w:r>
              <w:rPr>
                <w:rFonts w:ascii="Arial" w:cs="Arial" w:eastAsia="Arial" w:hAnsi="Arial"/>
                <w:color w:val="DDDDFF"/>
                <w:sz w:val="17"/>
                <w:szCs w:val="17"/>
              </w:rPr>
              <w:t xml:space="preserve">  |  Decreto ejecutivo + Ley SNIP  |  Ejecutivo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El Estado tiene empleados innecesarios, funciones duplicadas y cargos políticos disfrazados de técnicos.</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El SNIP en su módulo de seguimiento institucional detecta y publica duplicidades funcionales. Con esa evidencia el Ejecutivo y la Asamblea rediseñan estructuras sin eliminar personal arbitrariamente sino reasignando funciones con criterio técnico.</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SNIP con 3+ años de datos de seguimiento institucional</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Reducción verificable de duplicidades sin afectación arbitraria del empleo público.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E" w:sz="8" w:space="0"/>
              <w:left w:val="none" w:color="FFFFFF" w:sz="0" w:space="0"/>
              <w:bottom w:val="none" w:color="FFFFFF" w:sz="0" w:space="0"/>
              <w:right w:val="none" w:color="FFFFFF" w:sz="0" w:space="0"/>
            </w:tcBorders>
            <w:shd w:fill="1A5C2E"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R20 — Escuela Nacional de Administración Pública</w:t>
            </w:r>
            <w:r>
              <w:rPr>
                <w:rFonts w:ascii="Arial" w:cs="Arial" w:eastAsia="Arial" w:hAnsi="Arial"/>
                <w:color w:val="DDDDFF"/>
                <w:sz w:val="17"/>
                <w:szCs w:val="17"/>
              </w:rPr>
              <w:t xml:space="preserve">  |  Nueva Ley Orgánica  |  77 votos</w:t>
            </w:r>
          </w:p>
        </w:tc>
      </w:tr>
      <w:tr>
        <w:tc>
          <w:tcPr>
            <w:tcBorders>
              <w:top w:val="none" w:color="FFFFFF" w:sz="0" w:space="0"/>
              <w:left w:val="none" w:color="FFFFFF" w:sz="0" w:space="0"/>
              <w:bottom w:val="none" w:color="FFFFFF" w:sz="0" w:space="0"/>
              <w:right w:val="none" w:color="FFFFFF" w:sz="0" w:space="0"/>
            </w:tcBorders>
            <w:shd w:fill="F8F8F8" w:val="clear"/>
            <w:tcMar>
              <w:top w:type="dxa" w:w="80"/>
              <w:left w:type="dxa" w:w="160"/>
              <w:bottom w:type="dxa" w:w="20"/>
              <w:right w:type="dxa" w:w="160"/>
            </w:tcMar>
          </w:tcPr>
          <w:p>
            <w:pPr>
              <w:spacing w:after="0" w:before="0"/>
            </w:pPr>
            <w:r>
              <w:rPr>
                <w:rFonts w:ascii="Arial" w:cs="Arial" w:eastAsia="Arial" w:hAnsi="Arial"/>
                <w:b/>
                <w:bCs/>
                <w:color w:val="7B1111"/>
                <w:sz w:val="17"/>
                <w:szCs w:val="17"/>
              </w:rPr>
              <w:t xml:space="preserve">PROBLEMA QUE RESUELVE: </w:t>
            </w:r>
            <w:r>
              <w:rPr>
                <w:rFonts w:ascii="Arial" w:cs="Arial" w:eastAsia="Arial" w:hAnsi="Arial"/>
                <w:color w:val="111111"/>
                <w:sz w:val="19"/>
                <w:szCs w:val="19"/>
              </w:rPr>
              <w:t xml:space="preserve">No existe formación técnica sistemática para servidores públicos. Los cargos técnicos se llenan con leales sin formación.</w:t>
            </w:r>
          </w:p>
        </w:tc>
      </w:tr>
      <w:tr>
        <w:tc>
          <w:tcPr>
            <w:tcBorders>
              <w:top w:val="none" w:color="FFFFFF" w:sz="0" w:space="0"/>
              <w:left w:val="none" w:color="FFFFFF" w:sz="0" w:space="0"/>
              <w:bottom w:val="none" w:color="FFFFFF" w:sz="0" w:space="0"/>
              <w:right w:val="none" w:color="FFFFFF" w:sz="0" w:space="0"/>
            </w:tcBorders>
            <w:shd w:fill="F8F8F8" w:val="clear"/>
            <w:tcMar>
              <w:top w:type="dxa" w:w="10"/>
              <w:left w:type="dxa" w:w="160"/>
              <w:bottom w:type="dxa" w:w="20"/>
              <w:right w:type="dxa" w:w="160"/>
            </w:tcMar>
          </w:tcPr>
          <w:p>
            <w:pPr>
              <w:spacing w:after="0" w:before="0"/>
            </w:pPr>
            <w:r>
              <w:rPr>
                <w:rFonts w:ascii="Arial" w:cs="Arial" w:eastAsia="Arial" w:hAnsi="Arial"/>
                <w:b/>
                <w:bCs/>
                <w:color w:val="1A5C2E"/>
                <w:sz w:val="17"/>
                <w:szCs w:val="17"/>
              </w:rPr>
              <w:t xml:space="preserve">ACCIÓN CONCRETA: </w:t>
            </w:r>
            <w:r>
              <w:rPr>
                <w:rFonts w:ascii="Arial" w:cs="Arial" w:eastAsia="Arial" w:hAnsi="Arial"/>
                <w:color w:val="111111"/>
                <w:sz w:val="19"/>
                <w:szCs w:val="19"/>
              </w:rPr>
              <w:t xml:space="preserve">Institución de élite administrativa inspirada en el modelo ENA de Francia y el Civil Service College de Singapur. Ingreso por concurso nacional riguroso. Formación en gestión pública, economía, derecho administrativo, ética y tecnología del Estado. Egresados tienen prioridad en cargos técnicos del servicio civil.</w:t>
            </w:r>
          </w:p>
        </w:tc>
      </w:tr>
      <w:tr>
        <w:tc>
          <w:tcPr>
            <w:tcBorders>
              <w:top w:val="none" w:color="FFFFFF" w:sz="0" w:space="0"/>
              <w:left w:val="none" w:color="FFFFFF" w:sz="0" w:space="0"/>
              <w:bottom w:val="single" w:color="1A5C2E" w:sz="8" w:space="0"/>
              <w:right w:val="none" w:color="FFFFFF" w:sz="0" w:space="0"/>
            </w:tcBorders>
            <w:shd w:fill="FFFFFF" w:val="clear"/>
            <w:tcMar>
              <w:top w:type="dxa" w:w="10"/>
              <w:left w:type="dxa" w:w="160"/>
              <w:bottom w:type="dxa" w:w="100"/>
              <w:right w:type="dxa" w:w="160"/>
            </w:tcMar>
          </w:tcPr>
          <w:p>
            <w:pPr>
              <w:spacing w:after="20" w:before="0"/>
            </w:pPr>
            <w:r>
              <w:rPr>
                <w:rFonts w:ascii="Arial" w:cs="Arial" w:eastAsia="Arial" w:hAnsi="Arial"/>
                <w:b/>
                <w:bCs/>
                <w:color w:val="92620A"/>
                <w:sz w:val="17"/>
                <w:szCs w:val="17"/>
              </w:rPr>
              <w:t xml:space="preserve">REQUISITOS PREVIOS: </w:t>
            </w:r>
            <w:r>
              <w:rPr>
                <w:rFonts w:ascii="Arial" w:cs="Arial" w:eastAsia="Arial" w:hAnsi="Arial"/>
                <w:color w:val="111111"/>
                <w:sz w:val="19"/>
                <w:szCs w:val="19"/>
              </w:rPr>
              <w:t xml:space="preserve">Servicio civil profesional (R17) y Plan Estructural (R18) aprobados</w:t>
            </w:r>
          </w:p>
          <w:p>
            <w:pPr>
              <w:spacing w:after="0" w:before="0"/>
            </w:pPr>
            <w:r>
              <w:rPr>
                <w:rFonts w:ascii="Arial" w:cs="Arial" w:eastAsia="Arial" w:hAnsi="Arial"/>
                <w:b/>
                <w:bCs/>
                <w:color w:val="2E5FA3"/>
                <w:sz w:val="17"/>
                <w:szCs w:val="17"/>
              </w:rPr>
              <w:t xml:space="preserve">CONDICIÓN DE ÉXITO: </w:t>
            </w:r>
            <w:r>
              <w:rPr>
                <w:rFonts w:ascii="Arial" w:cs="Arial" w:eastAsia="Arial" w:hAnsi="Arial"/>
                <w:color w:val="111111"/>
                <w:sz w:val="19"/>
                <w:szCs w:val="19"/>
              </w:rPr>
              <w:t xml:space="preserve">Primera promoción de egresados incorporada al servicio civil con resultados medibles.</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CONDICIONES TRANSVERSALES — APLICAN A TODAS LAS FASES</w:t>
      </w:r>
    </w:p>
    <w:p>
      <w:pPr>
        <w:spacing w:after="140" w:before="0"/>
      </w:pPr>
      <w:r>
        <w:rPr>
          <w:sz w:val="20"/>
          <w:szCs w:val="20"/>
        </w:rPr>
        <w:t xml:space="preserve"/>
      </w:r>
    </w:p>
    <w:p>
      <w:pPr>
        <w:spacing w:after="160" w:before="0" w:line="340" w:lineRule="auto"/>
        <w:jc w:val="both"/>
      </w:pPr>
      <w:r>
        <w:rPr>
          <w:rFonts w:ascii="Arial" w:cs="Arial" w:eastAsia="Arial" w:hAnsi="Arial"/>
          <w:sz w:val="22"/>
          <w:szCs w:val="22"/>
        </w:rPr>
        <w:t xml:space="preserve">Estas condiciones no corresponden a ninguna fase específica. Deben mantenerse activas durante todo el proceso de implementación independientemente de qué fase esté en curso.</w:t>
      </w:r>
    </w:p>
    <w:p>
      <w:pPr>
        <w:spacing w:after="140" w:before="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Borders>
              <w:top w:val="single" w:color="BBBBBB" w:sz="4" w:space="0"/>
              <w:left w:val="single" w:color="BBBBBB" w:sz="4" w:space="0"/>
              <w:bottom w:val="single" w:color="BBBBBB" w:sz="4" w:space="0"/>
              <w:right w:val="single" w:color="BBBBBB" w:sz="4" w:space="0"/>
            </w:tcBorders>
            <w:shd w:fill="0D1F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CONDICIÓN</w:t>
            </w:r>
          </w:p>
        </w:tc>
        <w:tc>
          <w:tcPr>
            <w:tcBorders>
              <w:top w:val="single" w:color="BBBBBB" w:sz="4" w:space="0"/>
              <w:left w:val="single" w:color="BBBBBB" w:sz="4" w:space="0"/>
              <w:bottom w:val="single" w:color="BBBBBB" w:sz="4" w:space="0"/>
              <w:right w:val="single" w:color="BBBBBB" w:sz="4" w:space="0"/>
            </w:tcBorders>
            <w:shd w:fill="0D1F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DESCRIPCIÓN</w:t>
            </w:r>
          </w:p>
        </w:tc>
      </w:tr>
      <w:tr>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b/>
                <w:bCs/>
                <w:color w:val="0D1F3C"/>
                <w:sz w:val="18"/>
                <w:szCs w:val="18"/>
              </w:rPr>
              <w:t xml:space="preserve">Canal ciudadano activo</w:t>
            </w:r>
          </w:p>
        </w:tc>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sz w:val="18"/>
                <w:szCs w:val="18"/>
              </w:rPr>
              <w:t xml:space="preserve">El canal Cuando el Estado Falla publica contenido consistente que explica cada reforma en lenguaje ciudadano antes, durante y después de su debate legislativo. La ciudadanía debe entender cada reforma antes de que llegue a la Asamblea.</w:t>
            </w:r>
          </w:p>
        </w:tc>
      </w:tr>
      <w:tr>
        <w:tc>
          <w:tcPr>
            <w:tcBorders>
              <w:top w:val="single" w:color="BBBBBB" w:sz="4" w:space="0"/>
              <w:left w:val="single" w:color="BBBBBB" w:sz="4" w:space="0"/>
              <w:bottom w:val="single" w:color="BBBBBB" w:sz="4" w:space="0"/>
              <w:right w:val="single" w:color="BBBBBB" w:sz="4" w:space="0"/>
            </w:tcBorders>
            <w:shd w:fill="F4F5F7" w:val="clear"/>
            <w:tcMar>
              <w:top w:type="dxa" w:w="90"/>
              <w:left w:type="dxa" w:w="120"/>
              <w:bottom w:type="dxa" w:w="90"/>
              <w:right w:type="dxa" w:w="120"/>
            </w:tcMar>
          </w:tcPr>
          <w:p>
            <w:pPr>
              <w:spacing w:after="0" w:before="0"/>
            </w:pPr>
            <w:r>
              <w:rPr>
                <w:rFonts w:ascii="Arial" w:cs="Arial" w:eastAsia="Arial" w:hAnsi="Arial"/>
                <w:b/>
                <w:bCs/>
                <w:color w:val="0D1F3C"/>
                <w:sz w:val="18"/>
                <w:szCs w:val="18"/>
              </w:rPr>
              <w:t xml:space="preserve">Veeduría internacional permanente</w:t>
            </w:r>
          </w:p>
        </w:tc>
        <w:tc>
          <w:tcPr>
            <w:tcBorders>
              <w:top w:val="single" w:color="BBBBBB" w:sz="4" w:space="0"/>
              <w:left w:val="single" w:color="BBBBBB" w:sz="4" w:space="0"/>
              <w:bottom w:val="single" w:color="BBBBBB" w:sz="4" w:space="0"/>
              <w:right w:val="single" w:color="BBBBBB" w:sz="4" w:space="0"/>
            </w:tcBorders>
            <w:shd w:fill="F4F5F7" w:val="clear"/>
            <w:tcMar>
              <w:top w:type="dxa" w:w="90"/>
              <w:left w:type="dxa" w:w="120"/>
              <w:bottom w:type="dxa" w:w="90"/>
              <w:right w:type="dxa" w:w="120"/>
            </w:tcMar>
          </w:tcPr>
          <w:p>
            <w:pPr>
              <w:spacing w:after="0" w:before="0"/>
            </w:pPr>
            <w:r>
              <w:rPr>
                <w:rFonts w:ascii="Arial" w:cs="Arial" w:eastAsia="Arial" w:hAnsi="Arial"/>
                <w:sz w:val="18"/>
                <w:szCs w:val="18"/>
              </w:rPr>
              <w:t xml:space="preserve">UNODC, OEA-MESICIC y Comisión de Venecia observan activamente el proceso legislativo. Sus pronunciamientos públicos generan costos reputacionales ante intentos de captura o modificación no autorizada.</w:t>
            </w:r>
          </w:p>
        </w:tc>
      </w:tr>
      <w:tr>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b/>
                <w:bCs/>
                <w:color w:val="0D1F3C"/>
                <w:sz w:val="18"/>
                <w:szCs w:val="18"/>
              </w:rPr>
              <w:t xml:space="preserve">Informe público anual del SNIP</w:t>
            </w:r>
          </w:p>
        </w:tc>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sz w:val="18"/>
                <w:szCs w:val="18"/>
              </w:rPr>
              <w:t xml:space="preserve">Cada año el SNIP publica métricas verificables: alertas generadas, respuestas recibidas, casos resueltos, bienes recuperados, inacciones documentadas. Ese informe es el argumento político más poderoso para cada reforma de la fase siguiente.</w:t>
            </w:r>
          </w:p>
        </w:tc>
      </w:tr>
      <w:tr>
        <w:tc>
          <w:tcPr>
            <w:tcBorders>
              <w:top w:val="single" w:color="BBBBBB" w:sz="4" w:space="0"/>
              <w:left w:val="single" w:color="BBBBBB" w:sz="4" w:space="0"/>
              <w:bottom w:val="single" w:color="BBBBBB" w:sz="4" w:space="0"/>
              <w:right w:val="single" w:color="BBBBBB" w:sz="4" w:space="0"/>
            </w:tcBorders>
            <w:shd w:fill="F4F5F7" w:val="clear"/>
            <w:tcMar>
              <w:top w:type="dxa" w:w="90"/>
              <w:left w:type="dxa" w:w="120"/>
              <w:bottom w:type="dxa" w:w="90"/>
              <w:right w:type="dxa" w:w="120"/>
            </w:tcMar>
          </w:tcPr>
          <w:p>
            <w:pPr>
              <w:spacing w:after="0" w:before="0"/>
            </w:pPr>
            <w:r>
              <w:rPr>
                <w:rFonts w:ascii="Arial" w:cs="Arial" w:eastAsia="Arial" w:hAnsi="Arial"/>
                <w:b/>
                <w:bCs/>
                <w:color w:val="0D1F3C"/>
                <w:sz w:val="18"/>
                <w:szCs w:val="18"/>
              </w:rPr>
              <w:t xml:space="preserve">EFIA-EC como marco regulatorio</w:t>
            </w:r>
          </w:p>
        </w:tc>
        <w:tc>
          <w:tcPr>
            <w:tcBorders>
              <w:top w:val="single" w:color="BBBBBB" w:sz="4" w:space="0"/>
              <w:left w:val="single" w:color="BBBBBB" w:sz="4" w:space="0"/>
              <w:bottom w:val="single" w:color="BBBBBB" w:sz="4" w:space="0"/>
              <w:right w:val="single" w:color="BBBBBB" w:sz="4" w:space="0"/>
            </w:tcBorders>
            <w:shd w:fill="F4F5F7" w:val="clear"/>
            <w:tcMar>
              <w:top w:type="dxa" w:w="90"/>
              <w:left w:type="dxa" w:w="120"/>
              <w:bottom w:type="dxa" w:w="90"/>
              <w:right w:type="dxa" w:w="120"/>
            </w:tcMar>
          </w:tcPr>
          <w:p>
            <w:pPr>
              <w:spacing w:after="0" w:before="0"/>
            </w:pPr>
            <w:r>
              <w:rPr>
                <w:rFonts w:ascii="Arial" w:cs="Arial" w:eastAsia="Arial" w:hAnsi="Arial"/>
                <w:sz w:val="18"/>
                <w:szCs w:val="18"/>
              </w:rPr>
              <w:t xml:space="preserve">Todas las reformas se presentan como compatibles con la Estrategia de IA publicada el 19 de enero de 2026. Eso cierra la objeción de que el SNIP viola la regulación nacional de inteligencia artificial.</w:t>
            </w:r>
          </w:p>
        </w:tc>
      </w:tr>
      <w:tr>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b/>
                <w:bCs/>
                <w:color w:val="0D1F3C"/>
                <w:sz w:val="18"/>
                <w:szCs w:val="18"/>
              </w:rPr>
              <w:t xml:space="preserve">Registro de autoría y protección intelectual</w:t>
            </w:r>
          </w:p>
        </w:tc>
        <w:tc>
          <w:tcPr>
            <w:tcBorders>
              <w:top w:val="single" w:color="BBBBBB" w:sz="4" w:space="0"/>
              <w:left w:val="single" w:color="BBBBBB" w:sz="4" w:space="0"/>
              <w:bottom w:val="single" w:color="BBBBBB" w:sz="4" w:space="0"/>
              <w:right w:val="single" w:color="BBBBBB" w:sz="4" w:space="0"/>
            </w:tcBorders>
            <w:shd w:fill="FFFFFF" w:val="clear"/>
            <w:tcMar>
              <w:top w:type="dxa" w:w="90"/>
              <w:left w:type="dxa" w:w="120"/>
              <w:bottom w:type="dxa" w:w="90"/>
              <w:right w:type="dxa" w:w="120"/>
            </w:tcMar>
          </w:tcPr>
          <w:p>
            <w:pPr>
              <w:spacing w:after="0" w:before="0"/>
            </w:pPr>
            <w:r>
              <w:rPr>
                <w:rFonts w:ascii="Arial" w:cs="Arial" w:eastAsia="Arial" w:hAnsi="Arial"/>
                <w:sz w:val="18"/>
                <w:szCs w:val="18"/>
              </w:rPr>
              <w:t xml:space="preserve">El diseño completo del SNIP está registrado públicamente con fecha verificable en GitHub, Medium y con respaldo en organismos académicos internacionales. Cualquier apropiación puede ser documentada y confrontada públicamente.</w:t>
            </w:r>
          </w:p>
        </w:tc>
      </w:tr>
    </w:tbl>
    <w:p>
      <w:pPr>
        <w:spacing w:after="140" w:before="0"/>
      </w:pPr>
      <w:r>
        <w:rPr>
          <w:sz w:val="20"/>
          <w:szCs w:val="20"/>
        </w:rPr>
        <w:t xml:space="preserve"/>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Arial" w:cs="Arial" w:eastAsia="Arial" w:hAnsi="Arial"/>
                <w:b/>
                <w:bCs/>
                <w:color w:val="FFFFFF"/>
                <w:sz w:val="21"/>
                <w:szCs w:val="21"/>
              </w:rPr>
              <w:t xml:space="preserve">Este documento tiene 20 reformas en 3 fases. No se implementan todas al mismo tiempo. Se implementan en orden porque cada una crea las condiciones para la siguiente. La primera reforma más importante de todas no está en esta lista: es el primer video del canal. Sin audiencia ciudadana, ninguna de estas 20 reformas tiene quién las defienda cuando alguien intente bloquearlas.</w:t>
            </w:r>
          </w:p>
        </w:tc>
      </w:tr>
    </w:tbl>
    <w:p>
      <w:pPr>
        <w:spacing w:after="140" w:before="0"/>
      </w:pPr>
      <w:r>
        <w:rPr>
          <w:sz w:val="20"/>
          <w:szCs w:val="20"/>
        </w:rPr>
        <w:t xml:space="preserve"/>
      </w:r>
    </w:p>
    <w:p>
      <w:pPr>
        <w:spacing w:after="0" w:before="200"/>
        <w:jc w:val="center"/>
      </w:pPr>
      <w:r>
        <w:rPr>
          <w:rFonts w:ascii="Arial" w:cs="Arial" w:eastAsia="Arial" w:hAnsi="Arial"/>
          <w:i/>
          <w:iCs/>
          <w:color w:val="888888"/>
          <w:sz w:val="20"/>
          <w:szCs w:val="20"/>
        </w:rPr>
        <w:t xml:space="preserve">— Fin del documento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60" w:before="0"/>
    </w:pPr>
    <w:r>
      <w:rPr>
        <w:rFonts w:ascii="Arial" w:cs="Arial" w:eastAsia="Arial" w:hAnsi="Arial"/>
        <w:color w:val="666666"/>
        <w:sz w:val="18"/>
        <w:szCs w:val="18"/>
      </w:rPr>
      <w:t xml:space="preserve">SNIP Ecuador — Hoja de Ruta Maestra de Reformas  |  Documento de Trabajo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F3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2026-03-16T00:51:36.560Z</dcterms:created>
  <dcterms:modified xsi:type="dcterms:W3CDTF">2026-03-16T00:51:36.561Z</dcterms:modified>
</cp:coreProperties>
</file>

<file path=docProps/custom.xml><?xml version="1.0" encoding="utf-8"?>
<Properties xmlns="http://schemas.openxmlformats.org/officeDocument/2006/custom-properties" xmlns:vt="http://schemas.openxmlformats.org/officeDocument/2006/docPropsVTypes"/>
</file>