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D1F3C"/>
          <w:sz w:val="28"/>
          <w:szCs w:val="28"/>
        </w:rPr>
        <w:t xml:space="preserve">SISTEMAS INSTITUCIONALES DIGITALES PARA LA DETECCIÓN TEMPRANA</w:t>
      </w:r>
    </w:p>
    <w:p>
      <w:pPr>
        <w:spacing w:after="80" w:before="0"/>
        <w:jc w:val="center"/>
      </w:pPr>
      <w:r>
        <w:rPr>
          <w:rFonts w:ascii="Arial" w:cs="Arial" w:eastAsia="Arial" w:hAnsi="Arial"/>
          <w:b/>
          <w:bCs/>
          <w:color w:val="0D1F3C"/>
          <w:sz w:val="28"/>
          <w:szCs w:val="28"/>
        </w:rPr>
        <w:t xml:space="preserve">DE FALLAS Y RIESGOS DE CORRUPCIÓN EN EL ESTADO:</w:t>
      </w:r>
    </w:p>
    <w:p>
      <w:pPr>
        <w:spacing w:after="240" w:before="0"/>
        <w:jc w:val="center"/>
      </w:pPr>
      <w:r>
        <w:rPr>
          <w:rFonts w:ascii="Arial" w:cs="Arial" w:eastAsia="Arial" w:hAnsi="Arial"/>
          <w:i/>
          <w:iCs/>
          <w:color w:val="2E5FA3"/>
          <w:sz w:val="24"/>
          <w:szCs w:val="24"/>
        </w:rPr>
        <w:t xml:space="preserve">Análisis Comparado Internacional y Propuesta de Aplicación para Ecuador</w:t>
      </w:r>
    </w:p>
    <w:p>
      <w:pPr>
        <w:spacing w:after="160" w:before="0"/>
      </w:pPr>
      <w:r>
        <w:rPr>
          <w:sz w:val="22"/>
          <w:szCs w:val="22"/>
        </w:rPr>
        <w:t xml:space="preserve"/>
      </w:r>
    </w:p>
    <w:p>
      <w:pPr>
        <w:spacing w:after="60" w:before="0"/>
        <w:jc w:val="center"/>
      </w:pPr>
      <w:r>
        <w:rPr>
          <w:rFonts w:ascii="Arial" w:cs="Arial" w:eastAsia="Arial" w:hAnsi="Arial"/>
          <w:b/>
          <w:bCs/>
          <w:color w:val="222222"/>
          <w:sz w:val="24"/>
          <w:szCs w:val="24"/>
        </w:rPr>
        <w:t xml:space="preserve">Adonis Manuel Loor Anchundia</w:t>
      </w:r>
    </w:p>
    <w:p>
      <w:pPr>
        <w:spacing w:after="40" w:before="0"/>
        <w:jc w:val="center"/>
      </w:pPr>
      <w:r>
        <w:rPr>
          <w:rFonts w:ascii="Times New Roman" w:cs="Times New Roman" w:eastAsia="Times New Roman" w:hAnsi="Times New Roman"/>
          <w:i/>
          <w:iCs/>
          <w:color w:val="444444"/>
          <w:sz w:val="20"/>
          <w:szCs w:val="20"/>
        </w:rPr>
        <w:t xml:space="preserve">Docente — Unidad Educativa Capitán Edmundo Chiriboga</w:t>
      </w:r>
    </w:p>
    <w:p>
      <w:pPr>
        <w:spacing w:after="40" w:before="0"/>
        <w:jc w:val="center"/>
      </w:pPr>
      <w:r>
        <w:rPr>
          <w:rFonts w:ascii="Times New Roman" w:cs="Times New Roman" w:eastAsia="Times New Roman" w:hAnsi="Times New Roman"/>
          <w:i/>
          <w:iCs/>
          <w:color w:val="444444"/>
          <w:sz w:val="20"/>
          <w:szCs w:val="20"/>
        </w:rPr>
        <w:t xml:space="preserve">Calceta, Manabí, Ecuador</w:t>
      </w:r>
    </w:p>
    <w:p>
      <w:pPr>
        <w:spacing w:after="240" w:before="0"/>
        <w:jc w:val="center"/>
      </w:pPr>
      <w:r>
        <w:rPr>
          <w:rFonts w:ascii="Times New Roman" w:cs="Times New Roman" w:eastAsia="Times New Roman" w:hAnsi="Times New Roman"/>
          <w:color w:val="666666"/>
          <w:sz w:val="18"/>
          <w:szCs w:val="18"/>
        </w:rPr>
        <w:t xml:space="preserve">Correspondencia: [correo del autor]</w:t>
      </w:r>
    </w:p>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6"/>
              <w:left w:val="none" w:color="FFFFFF" w:sz="0" w:space="0"/>
              <w:bottom w:val="single" w:color="0D1F3C" w:sz="6"/>
              <w:right w:val="none" w:color="FFFFFF" w:sz="0" w:space="0"/>
            </w:tcBorders>
            <w:shd w:fill="F4F5F7" w:val="clear"/>
            <w:tcMar>
              <w:top w:type="dxa" w:w="180"/>
              <w:left w:type="dxa" w:w="360"/>
              <w:bottom w:type="dxa" w:w="180"/>
              <w:right w:type="dxa" w:w="360"/>
            </w:tcMar>
          </w:tcPr>
          <w:p>
            <w:pPr>
              <w:spacing w:after="80" w:before="0"/>
            </w:pPr>
            <w:r>
              <w:rPr>
                <w:rFonts w:ascii="Arial" w:cs="Arial" w:eastAsia="Arial" w:hAnsi="Arial"/>
                <w:b/>
                <w:bCs/>
                <w:color w:val="0D1F3C"/>
                <w:sz w:val="22"/>
                <w:szCs w:val="22"/>
              </w:rPr>
              <w:t xml:space="preserve">Resumen</w:t>
            </w:r>
          </w:p>
          <w:p>
            <w:pPr>
              <w:spacing w:after="80" w:before="0" w:line="320" w:lineRule="auto"/>
              <w:jc w:val="both"/>
            </w:pPr>
            <w:r>
              <w:rPr>
                <w:rFonts w:ascii="Times New Roman" w:cs="Times New Roman" w:eastAsia="Times New Roman" w:hAnsi="Times New Roman"/>
                <w:sz w:val="20"/>
                <w:szCs w:val="20"/>
              </w:rPr>
              <w:t xml:space="preserve">El presente artículo analiza comparativamente los modelos institucionales y tecnológicos de lucha contra la corrupción implementados por Estonia, Chile, Uruguay, Corea del Sur, Singapur, Hong Kong, Nueva Zelanda y Dinamarca, con el propósito de identificar las lecciones aplicables al diseño del Sistema Nacional de Integridad Pública (SNIP) del Ecuador. Mediante un método de análisis comparado de casos seleccionados por criterios de relevancia institucional y contextual, el estudio examina tres dimensiones: la arquitectura tecnológica de cada sistema, los marcos legales e institucionales que los sostienen y los mecanismos que han garantizado su permanencia a lo largo del tiempo. Los resultados demuestran que la efectividad anticorrupción no reside en la sofisticación tecnológica sino en la autonomía institucional, la independencia presupuestaria y la existencia de circuitos de control cruzado que impiden la captura por parte de actores políticos. Con base en este análisis, se propone el diseño conceptual del SNIP como sistema integrado que combina análisis jurídico automatizado, control financiero en tiempo real, seguimiento institucional y participación ciudadana directa, con candados constitucionales que garantizan su funcionamiento independientemente del gobierno de turno.</w:t>
            </w:r>
          </w:p>
          <w:p>
            <w:pPr>
              <w:spacing w:after="0" w:before="60"/>
            </w:pPr>
            <w:r>
              <w:rPr>
                <w:rFonts w:ascii="Times New Roman" w:cs="Times New Roman" w:eastAsia="Times New Roman" w:hAnsi="Times New Roman"/>
                <w:b/>
                <w:bCs/>
                <w:color w:val="0D1F3C"/>
                <w:sz w:val="20"/>
                <w:szCs w:val="20"/>
              </w:rPr>
              <w:t xml:space="preserve">Palabras clave: </w:t>
            </w:r>
            <w:r>
              <w:rPr>
                <w:rFonts w:ascii="Times New Roman" w:cs="Times New Roman" w:eastAsia="Times New Roman" w:hAnsi="Times New Roman"/>
                <w:sz w:val="20"/>
                <w:szCs w:val="20"/>
              </w:rPr>
              <w:t xml:space="preserve">anticorrupción; gobierno digital; diseño institucional; transparencia; Ecuador; SNIP; integridad pública; análisis comparado</w:t>
            </w:r>
          </w:p>
        </w:tc>
      </w:tr>
    </w:tbl>
    <w:p>
      <w:pPr>
        <w:spacing w:after="16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6"/>
              <w:left w:val="none" w:color="FFFFFF" w:sz="0" w:space="0"/>
              <w:bottom w:val="single" w:color="0D1F3C" w:sz="6"/>
              <w:right w:val="none" w:color="FFFFFF" w:sz="0" w:space="0"/>
            </w:tcBorders>
            <w:shd w:fill="F4F5F7" w:val="clear"/>
            <w:tcMar>
              <w:top w:type="dxa" w:w="180"/>
              <w:left w:type="dxa" w:w="360"/>
              <w:bottom w:type="dxa" w:w="180"/>
              <w:right w:type="dxa" w:w="360"/>
            </w:tcMar>
          </w:tcPr>
          <w:p>
            <w:pPr>
              <w:spacing w:after="80" w:before="0"/>
            </w:pPr>
            <w:r>
              <w:rPr>
                <w:rFonts w:ascii="Arial" w:cs="Arial" w:eastAsia="Arial" w:hAnsi="Arial"/>
                <w:b/>
                <w:bCs/>
                <w:color w:val="0D1F3C"/>
                <w:sz w:val="22"/>
                <w:szCs w:val="22"/>
              </w:rPr>
              <w:t xml:space="preserve">Abstract</w:t>
            </w:r>
          </w:p>
          <w:p>
            <w:pPr>
              <w:spacing w:after="80" w:before="0" w:line="320" w:lineRule="auto"/>
              <w:jc w:val="both"/>
            </w:pPr>
            <w:r>
              <w:rPr>
                <w:rFonts w:ascii="Times New Roman" w:cs="Times New Roman" w:eastAsia="Times New Roman" w:hAnsi="Times New Roman"/>
                <w:i/>
                <w:iCs/>
                <w:sz w:val="20"/>
                <w:szCs w:val="20"/>
              </w:rPr>
              <w:t xml:space="preserve">This article presents a comparative analysis of the institutional and technological models for fighting corruption implemented by Estonia, Chile, Uruguay, South Korea, Singapore, Hong Kong, New Zealand, and Denmark, with the aim of identifying applicable lessons for designing Ecuador's proposed National Public Integrity System (SNIP). Using a comparative case study method with cases selected by institutional and contextual relevance criteria, the study examines three dimensions: the technological architecture of each system, the legal and institutional frameworks that sustain them, and the mechanisms that have guaranteed their permanence over time. Results demonstrate that anti-corruption effectiveness does not reside in technological sophistication, but in institutional autonomy, budgetary independence, and the existence of cross-control circuits that prevent capture by political actors. Based on this analysis, the article proposes the conceptual design of the SNIP as an integrated system combining automated legal analysis, real-time financial control, institutional monitoring, and direct citizen participation, with constitutional locks that guarantee its functioning independently of the government in power.</w:t>
            </w:r>
          </w:p>
          <w:p>
            <w:pPr>
              <w:spacing w:after="0" w:before="60"/>
            </w:pPr>
            <w:r>
              <w:rPr>
                <w:rFonts w:ascii="Times New Roman" w:cs="Times New Roman" w:eastAsia="Times New Roman" w:hAnsi="Times New Roman"/>
                <w:b/>
                <w:bCs/>
                <w:i/>
                <w:iCs/>
                <w:color w:val="0D1F3C"/>
                <w:sz w:val="20"/>
                <w:szCs w:val="20"/>
              </w:rPr>
              <w:t xml:space="preserve">Keywords: </w:t>
            </w:r>
            <w:r>
              <w:rPr>
                <w:rFonts w:ascii="Times New Roman" w:cs="Times New Roman" w:eastAsia="Times New Roman" w:hAnsi="Times New Roman"/>
                <w:i/>
                <w:iCs/>
                <w:sz w:val="20"/>
                <w:szCs w:val="20"/>
              </w:rPr>
              <w:t xml:space="preserve">anti-corruption; digital government; institutional design; transparency; Ecuador; SNIP; public integrity; comparative analysis</w:t>
            </w:r>
          </w:p>
        </w:tc>
      </w:tr>
    </w:tbl>
    <w:p>
      <w:r>
        <w:br w:type="page"/>
      </w:r>
    </w:p>
    <w:p>
      <w:pPr>
        <w:pStyle w:val="Heading1"/>
        <w:spacing w:after="200" w:before="400"/>
      </w:pPr>
      <w:r>
        <w:rPr>
          <w:rFonts w:ascii="Arial" w:cs="Arial" w:eastAsia="Arial" w:hAnsi="Arial"/>
          <w:b/>
          <w:bCs/>
          <w:caps/>
          <w:color w:val="0D1F3C"/>
          <w:sz w:val="28"/>
          <w:szCs w:val="28"/>
        </w:rPr>
        <w:t xml:space="preserve">1. Introducción</w:t>
      </w:r>
    </w:p>
    <w:p>
      <w:pPr>
        <w:spacing w:after="180" w:before="0" w:line="360" w:lineRule="auto"/>
        <w:jc w:val="both"/>
      </w:pPr>
      <w:r>
        <w:rPr>
          <w:rFonts w:ascii="Times New Roman" w:cs="Times New Roman" w:eastAsia="Times New Roman" w:hAnsi="Times New Roman"/>
          <w:sz w:val="22"/>
          <w:szCs w:val="22"/>
        </w:rPr>
        <w:t xml:space="preserve">La corrupción en el sector público constituye uno de los principales obstáculos para el desarrollo institucional y económico de los países latinoamericanos. En el caso ecuatoriano, el Índice de Percepción de la Corrupción (IPC) de Transparency International registró en 2024 una puntuación de 32 sobre 100, ubicando al país en el puesto 121 de 180 naciones evaluadas, con una tendencia decreciente que lo sitúa en su peor posición desde 2016 (Transparency International, 2024). Esta trayectoria descendente contrasta con la experiencia de países que, partiendo de condiciones similares o peores, lograron transformaciones institucionales profundas a través del diseño deliberado de sistemas de control.</w:t>
      </w:r>
    </w:p>
    <w:p>
      <w:pPr>
        <w:spacing w:after="180" w:before="0" w:line="360" w:lineRule="auto"/>
        <w:jc w:val="both"/>
      </w:pPr>
      <w:r>
        <w:rPr>
          <w:rFonts w:ascii="Times New Roman" w:cs="Times New Roman" w:eastAsia="Times New Roman" w:hAnsi="Times New Roman"/>
          <w:sz w:val="22"/>
          <w:szCs w:val="22"/>
        </w:rPr>
        <w:t xml:space="preserve">La literatura especializada ha documentado ampliamente que los sistemas anticorrupción más efectivos no dependen de la virtud individual de los gobernantes sino de la calidad del diseño institucional que estructura los incentivos para la acción pública (Fukuyama, 2014; Acemoglu y Robinson, 2012; Klitgaard, 1988). El diseño institucional entendido como el conjunto de reglas formales e informales que regulan la interacción entre actores políticos y burocráticos, determina en qué medida la corrupción resulta técnicamente difícil, jurídicamente costosa y culturalmente rechazada.</w:t>
      </w:r>
    </w:p>
    <w:p>
      <w:pPr>
        <w:spacing w:after="180" w:before="0" w:line="360" w:lineRule="auto"/>
        <w:jc w:val="both"/>
      </w:pPr>
      <w:r>
        <w:rPr>
          <w:rFonts w:ascii="Times New Roman" w:cs="Times New Roman" w:eastAsia="Times New Roman" w:hAnsi="Times New Roman"/>
          <w:sz w:val="22"/>
          <w:szCs w:val="22"/>
        </w:rPr>
        <w:t xml:space="preserve">El contexto institucional ecuatoriano incluye además la Estrategia para el Fomento del Desarrollo y Uso Ético y Responsable de la Inteligencia Artificial (EFIA-EC), publicada en el Registro Oficial el 19 de enero de 2026, que establece los principios de supervisión humana, transparencia y respeto a derechos fundamentales para el uso de IA en el sector público. El SNIP opera bajo esos principios desde su diseño base, siendo así compatible con el marco regulatorio nacional vigente.</w:t>
      </w:r>
    </w:p>
    <w:p>
      <w:pPr>
        <w:spacing w:after="180" w:before="0" w:line="360" w:lineRule="auto"/>
        <w:jc w:val="both"/>
      </w:pPr>
      <w:r>
        <w:rPr>
          <w:rFonts w:ascii="Times New Roman" w:cs="Times New Roman" w:eastAsia="Times New Roman" w:hAnsi="Times New Roman"/>
          <w:sz w:val="22"/>
          <w:szCs w:val="22"/>
        </w:rPr>
        <w:t xml:space="preserve">En este contexto, el presente artículo se propone responder a la siguiente pregunta de investigación: ¿qué características del diseño institucional y tecnológico de los sistemas anticorrupción más exitosos del mundo son aplicables al caso ecuatoriano, y cómo pueden articularse en una propuesta concreta de reforma? Para ello, se analiza comparativamente la experiencia de ocho países con modelos reconocidos internacionalmente, identificando los elementos comunes que explican su efectividad y sostenibilidad en el tiempo.</w:t>
      </w:r>
    </w:p>
    <w:p>
      <w:pPr>
        <w:spacing w:after="180" w:before="0" w:line="360" w:lineRule="auto"/>
        <w:jc w:val="both"/>
      </w:pPr>
      <w:r>
        <w:rPr>
          <w:rFonts w:ascii="Times New Roman" w:cs="Times New Roman" w:eastAsia="Times New Roman" w:hAnsi="Times New Roman"/>
          <w:sz w:val="22"/>
          <w:szCs w:val="22"/>
        </w:rPr>
        <w:t xml:space="preserve">El artículo se estructura en seis secciones. Tras esta introducción, la segunda sección presenta el marco teórico y la revisión de literatura relevante. La tercera describe la metodología del análisis comparado. La cuarta desarrolla el análisis de los ocho casos. La quinta sección sistematiza los hallazgos y los articula en la propuesta del Sistema Nacional de Integridad Pública (SNIP) para Ecuador. La sexta sección presenta las conclusiones y líneas de investigación futura.</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2. Marco Teórico y Revisión de Literatura</w:t>
      </w:r>
    </w:p>
    <w:p>
      <w:pPr>
        <w:pStyle w:val="Heading2"/>
        <w:spacing w:after="140" w:before="280"/>
      </w:pPr>
      <w:r>
        <w:rPr>
          <w:rFonts w:ascii="Arial" w:cs="Arial" w:eastAsia="Arial" w:hAnsi="Arial"/>
          <w:b/>
          <w:bCs/>
          <w:color w:val="0D1F3C"/>
          <w:sz w:val="24"/>
          <w:szCs w:val="24"/>
        </w:rPr>
        <w:t xml:space="preserve">2.1. El diseño institucional como variable determinante de la corrupción</w:t>
      </w:r>
    </w:p>
    <w:p>
      <w:pPr>
        <w:spacing w:after="180" w:before="0" w:line="360" w:lineRule="auto"/>
        <w:jc w:val="both"/>
      </w:pPr>
      <w:r>
        <w:rPr>
          <w:rFonts w:ascii="Times New Roman" w:cs="Times New Roman" w:eastAsia="Times New Roman" w:hAnsi="Times New Roman"/>
          <w:sz w:val="22"/>
          <w:szCs w:val="22"/>
        </w:rPr>
        <w:t xml:space="preserve">La ciencia política y la economía institucional han convergido en identificar el diseño de las instituciones públicas como la variable más explicativa de los niveles de corrupción en los Estados (North, 1990; Ostrom, 1990). A diferencia de los enfoques culturalistas que atribuyen la corrupción a rasgos históricos o identitarios de determinadas sociedades, la perspectiva institucional sostiene que la corrupción es el resultado predecible de estructuras de incentivos deficientes que pueden modificarse deliberadamente.</w:t>
      </w:r>
    </w:p>
    <w:p>
      <w:pPr>
        <w:spacing w:after="180" w:before="0" w:line="360" w:lineRule="auto"/>
        <w:jc w:val="both"/>
      </w:pPr>
      <w:r>
        <w:rPr>
          <w:rFonts w:ascii="Times New Roman" w:cs="Times New Roman" w:eastAsia="Times New Roman" w:hAnsi="Times New Roman"/>
          <w:sz w:val="22"/>
          <w:szCs w:val="22"/>
        </w:rPr>
        <w:t xml:space="preserve">Klitgaard (1988) propuso la fórmula más citada en este campo: C = M + D – A, donde la corrupción (C) es función del monopolio de poder (M) más la discrecionalidad (D) menos la accountability o rendición de cuentas (A). Esta formulación sugiere que las intervenciones más efectivas son aquellas que reducen el monopolio y la discrecionalidad, o que aumentan la rendición de cuentas, antes que las que intentan cambiar la moralidad individual de los funcionarios.</w:t>
      </w:r>
    </w:p>
    <w:p>
      <w:pPr>
        <w:spacing w:after="180" w:before="0" w:line="360" w:lineRule="auto"/>
        <w:jc w:val="both"/>
      </w:pPr>
      <w:r>
        <w:rPr>
          <w:rFonts w:ascii="Times New Roman" w:cs="Times New Roman" w:eastAsia="Times New Roman" w:hAnsi="Times New Roman"/>
          <w:sz w:val="22"/>
          <w:szCs w:val="22"/>
        </w:rPr>
        <w:t xml:space="preserve">Fukuyama (2014) añade una dimensión evolutiva a este análisis, argumentando que los Estados que logran combinar el Estado de Derecho, la rendición de cuentas democrática y la capacidad burocrática autónoma son los que presentan menores niveles de corrupción sistémica. La clave, según este autor, no es la cantidad de regulación sino la calidad de las instituciones que la aplican.</w:t>
      </w:r>
    </w:p>
    <w:p>
      <w:pPr>
        <w:spacing w:after="180" w:before="0" w:line="360" w:lineRule="auto"/>
        <w:jc w:val="both"/>
      </w:pPr>
      <w:r>
        <w:rPr>
          <w:rFonts w:ascii="Times New Roman" w:cs="Times New Roman" w:eastAsia="Times New Roman" w:hAnsi="Times New Roman"/>
          <w:sz w:val="22"/>
          <w:szCs w:val="22"/>
        </w:rPr>
        <w:t xml:space="preserve">Más recientemente, la literatura sobre gobierno digital ha incorporado la tecnología como variable mediadora en esta ecuación. Bannister y Connolly (2012) argumentan que la digitalización de los procesos gubernamentales puede reducir la discrecionalidad burocrática y aumentar la transparencia, contribuyendo directamente a la reducción de la corrupción. Sin embargo, Meijer (2015) advierte que la tecnología no es neutral: puede tanto facilitar la transparencia como concentrar el poder de vigilancia en manos del gobierno, dependiendo de cómo esté diseñada y gobernada.</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2.2. Modelos comparados de sistemas anticorrupción digitales</w:t>
      </w:r>
    </w:p>
    <w:p>
      <w:pPr>
        <w:spacing w:after="180" w:before="0" w:line="360" w:lineRule="auto"/>
        <w:jc w:val="both"/>
      </w:pPr>
      <w:r>
        <w:rPr>
          <w:rFonts w:ascii="Times New Roman" w:cs="Times New Roman" w:eastAsia="Times New Roman" w:hAnsi="Times New Roman"/>
          <w:sz w:val="22"/>
          <w:szCs w:val="22"/>
        </w:rPr>
        <w:t xml:space="preserve">La literatura comparada sobre sistemas anticorrupción ha identificado tres generaciones de modelos en función de su nivel de sofisticación tecnológica e institucional. La primera generación, representada por los sistemas OPEN de Corea del Sur (1999) y ChileCompra de Chile (2003), se caracteriza por la digitalización de procesos administrativos específicos para reducir la opacidad en trámites y contratación pública (Kim y Kim, 2003; Engel, Fischer y Galetovic, 2003).</w:t>
      </w:r>
    </w:p>
    <w:p>
      <w:pPr>
        <w:spacing w:after="180" w:before="0" w:line="360" w:lineRule="auto"/>
        <w:jc w:val="both"/>
      </w:pPr>
      <w:r>
        <w:rPr>
          <w:rFonts w:ascii="Times New Roman" w:cs="Times New Roman" w:eastAsia="Times New Roman" w:hAnsi="Times New Roman"/>
          <w:sz w:val="22"/>
          <w:szCs w:val="22"/>
        </w:rPr>
        <w:t xml:space="preserve">La segunda generación, ejemplificada por el sistema X-Road de Estonia y el portal AGESIC de Uruguay, avanza hacia la interoperabilidad total de las bases de datos del Estado, permitiendo el cruce automático de información entre instituciones y la detección de anomalías antes imposibles de identificar manualmente (Vassil, 2016; Naser y Concha, 2011).</w:t>
      </w:r>
    </w:p>
    <w:p>
      <w:pPr>
        <w:spacing w:after="180" w:before="0" w:line="360" w:lineRule="auto"/>
        <w:jc w:val="both"/>
      </w:pPr>
      <w:r>
        <w:rPr>
          <w:rFonts w:ascii="Times New Roman" w:cs="Times New Roman" w:eastAsia="Times New Roman" w:hAnsi="Times New Roman"/>
          <w:sz w:val="22"/>
          <w:szCs w:val="22"/>
        </w:rPr>
        <w:t xml:space="preserve">La tercera generación, emergente en los países de mayor puntuación en el IPC como Singapur, Nueva Zelanda y Dinamarca, integra marcos legales de autonomía institucional radical con mecanismos tecnológicos de registro inmutable y análisis de datos en tiempo real. El Corrupt Practices Investigation Bureau (CPIB) de Singapur es referencia obligada por su diseño de control cruzado que hace técnicamente imposible la interferencia política en las investigaciones (CPIB, 2023).</w:t>
      </w:r>
    </w:p>
    <w:p>
      <w:pPr>
        <w:spacing w:after="180" w:before="0" w:line="360" w:lineRule="auto"/>
        <w:jc w:val="both"/>
      </w:pPr>
      <w:r>
        <w:rPr>
          <w:rFonts w:ascii="Times New Roman" w:cs="Times New Roman" w:eastAsia="Times New Roman" w:hAnsi="Times New Roman"/>
          <w:sz w:val="22"/>
          <w:szCs w:val="22"/>
        </w:rPr>
        <w:t xml:space="preserve">En el contexto latinoamericano, los estudios de Sandoval-Almazán y Gil-García (2012) y de Relly y Sabharwal (2009) han documentado tanto las posibilidades como las limitaciones de la digitalización para reducir la corrupción en contextos de captura estatal, señalando que la tecnología sin autonomía institucional tiene efectos limitados y puede ser capturada por los mismos actores que busca controlar.</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2.3. El problema de la sostenibilidad institucional</w:t>
      </w:r>
    </w:p>
    <w:p>
      <w:pPr>
        <w:spacing w:after="180" w:before="0" w:line="360" w:lineRule="auto"/>
        <w:jc w:val="both"/>
      </w:pPr>
      <w:r>
        <w:rPr>
          <w:rFonts w:ascii="Times New Roman" w:cs="Times New Roman" w:eastAsia="Times New Roman" w:hAnsi="Times New Roman"/>
          <w:sz w:val="22"/>
          <w:szCs w:val="22"/>
        </w:rPr>
        <w:t xml:space="preserve">Una dimensión frecuentemente subestimada en el diseño de sistemas anticorrupción es la sostenibilidad: la capacidad del sistema para mantenerse operativo y autónomo a lo largo del tiempo, independientemente de los cambios de gobierno. Rothstein (2011) identifica este como el desafío central de cualquier reforma institucional en contextos de baja confianza social, argumentando que las reformas que dependen de la voluntad del gobierno de turno para sobrevivir están estructuralmente condenadas al fracaso.</w:t>
      </w:r>
    </w:p>
    <w:p>
      <w:pPr>
        <w:spacing w:after="180" w:before="0" w:line="360" w:lineRule="auto"/>
        <w:jc w:val="both"/>
      </w:pPr>
      <w:r>
        <w:rPr>
          <w:rFonts w:ascii="Times New Roman" w:cs="Times New Roman" w:eastAsia="Times New Roman" w:hAnsi="Times New Roman"/>
          <w:sz w:val="22"/>
          <w:szCs w:val="22"/>
        </w:rPr>
        <w:t xml:space="preserve">Los mecanismos de sostenibilidad documentados en la literatura incluyen: la protección constitucional del presupuesto de los organismos de control (Huther y Shah, 2000), la selección de directivos por sorteo o concurso técnico en lugar de designación política (Ginsburg y Simpser, 2013), los vínculos internacionales que crean costos reputacionales ante intentos de captura (Pevehouse, 2002) y la existencia de una base ciudadana activa que demanda el funcionamiento del sistema (Putnam, Leonardi y Nanetti, 1993).</w:t>
      </w:r>
    </w:p>
    <w:p>
      <w:r>
        <w:br w:type="page"/>
      </w:r>
    </w:p>
    <w:p>
      <w:pPr>
        <w:pStyle w:val="Heading1"/>
        <w:spacing w:after="200" w:before="400"/>
      </w:pPr>
      <w:r>
        <w:rPr>
          <w:rFonts w:ascii="Arial" w:cs="Arial" w:eastAsia="Arial" w:hAnsi="Arial"/>
          <w:b/>
          <w:bCs/>
          <w:caps/>
          <w:color w:val="0D1F3C"/>
          <w:sz w:val="28"/>
          <w:szCs w:val="28"/>
        </w:rPr>
        <w:t xml:space="preserve">3. Metodología</w:t>
      </w:r>
    </w:p>
    <w:p>
      <w:pPr>
        <w:pStyle w:val="Heading2"/>
        <w:spacing w:after="140" w:before="280"/>
      </w:pPr>
      <w:r>
        <w:rPr>
          <w:rFonts w:ascii="Arial" w:cs="Arial" w:eastAsia="Arial" w:hAnsi="Arial"/>
          <w:b/>
          <w:bCs/>
          <w:color w:val="0D1F3C"/>
          <w:sz w:val="24"/>
          <w:szCs w:val="24"/>
        </w:rPr>
        <w:t xml:space="preserve">3.1. Estrategia de investigación</w:t>
      </w:r>
    </w:p>
    <w:p>
      <w:pPr>
        <w:spacing w:after="180" w:before="0" w:line="360" w:lineRule="auto"/>
        <w:jc w:val="both"/>
      </w:pPr>
      <w:r>
        <w:rPr>
          <w:rFonts w:ascii="Times New Roman" w:cs="Times New Roman" w:eastAsia="Times New Roman" w:hAnsi="Times New Roman"/>
          <w:sz w:val="22"/>
          <w:szCs w:val="22"/>
        </w:rPr>
        <w:t xml:space="preserve">El presente estudio adopta un diseño de investigación comparativo cualitativo basado en el análisis de casos (Lijphart, 1971; Ragin, 1987). Este enfoque es apropiado cuando el número de casos es pequeño pero suficientemente variado para identificar patrones causales, y cuando el interés analítico reside en la comprensión de los mecanismos que producen los resultados observados más que en la estimación de efectos medios poblacionales.</w:t>
      </w:r>
    </w:p>
    <w:p>
      <w:pPr>
        <w:pStyle w:val="Heading2"/>
        <w:spacing w:after="140" w:before="280"/>
      </w:pPr>
      <w:r>
        <w:rPr>
          <w:rFonts w:ascii="Arial" w:cs="Arial" w:eastAsia="Arial" w:hAnsi="Arial"/>
          <w:b/>
          <w:bCs/>
          <w:color w:val="0D1F3C"/>
          <w:sz w:val="24"/>
          <w:szCs w:val="24"/>
        </w:rPr>
        <w:t xml:space="preserve">3.2. Selección de casos</w:t>
      </w:r>
    </w:p>
    <w:p>
      <w:pPr>
        <w:spacing w:after="180" w:before="0" w:line="360" w:lineRule="auto"/>
        <w:jc w:val="both"/>
      </w:pPr>
      <w:r>
        <w:rPr>
          <w:rFonts w:ascii="Times New Roman" w:cs="Times New Roman" w:eastAsia="Times New Roman" w:hAnsi="Times New Roman"/>
          <w:sz w:val="22"/>
          <w:szCs w:val="22"/>
        </w:rPr>
        <w:t xml:space="preserve">Los ocho casos fueron seleccionados mediante dos criterios combinados. El primero es el criterio de variación en la variable dependiente: se incluyeron países con altos niveles de transparencia institucional según el IPC de Transparency International (2024), con puntuaciones entre 63 y 90, que representan transformaciones documentadas desde posiciones previas más bajas. El segundo es el criterio de relevancia contextual para el caso ecuatoriano: se priorizaron países que, en algún momento de su historia, enfrentaron condiciones similares a las ecuatorianas en términos de captura estatal, debilidad institucional o dependencia económica.</w:t>
      </w:r>
    </w:p>
    <w:p>
      <w:pPr>
        <w:spacing w:after="60" w:before="120"/>
      </w:pPr>
      <w:r>
        <w:rPr>
          <w:rFonts w:ascii="Times New Roman" w:cs="Times New Roman" w:eastAsia="Times New Roman" w:hAnsi="Times New Roman"/>
          <w:i/>
          <w:iCs/>
          <w:color w:val="444444"/>
          <w:sz w:val="19"/>
          <w:szCs w:val="19"/>
        </w:rPr>
        <w:t xml:space="preserve">Tabla 1. Casos seleccionados y criterios de inclusión. Fuente: elaboración propia con datos de Transparency International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500"/>
        <w:gridCol w:w="3860"/>
      </w:tblGrid>
      <w:tr>
        <w:tc>
          <w:tcPr>
            <w:tcW w:type="dxa" w:w="14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País</w:t>
            </w:r>
          </w:p>
        </w:tc>
        <w:tc>
          <w:tcPr>
            <w:tcW w:type="dxa" w:w="10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IPC 2024</w:t>
            </w:r>
          </w:p>
        </w:tc>
        <w:tc>
          <w:tcPr>
            <w:tcW w:type="dxa" w:w="16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IPC aprox. inicio reforma</w:t>
            </w:r>
          </w:p>
        </w:tc>
        <w:tc>
          <w:tcPr>
            <w:tcW w:type="dxa" w:w="150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Año reforma clave</w:t>
            </w:r>
          </w:p>
        </w:tc>
        <w:tc>
          <w:tcPr>
            <w:tcW w:type="dxa" w:w="3860"/>
            <w:tcBorders>
              <w:top w:val="single" w:color="0D1F3C" w:sz="8"/>
              <w:left w:val="none" w:color="FFFFFF" w:sz="0" w:space="0"/>
              <w:bottom w:val="single" w:color="0D1F3C" w:sz="8"/>
              <w:right w:val="none" w:color="FFFFFF" w:sz="0" w:space="0"/>
            </w:tcBorders>
            <w:shd w:fill="FFFFFF" w:val="clear"/>
            <w:tcMar>
              <w:top w:type="dxa" w:w="80"/>
              <w:left w:type="dxa" w:w="100"/>
              <w:bottom w:type="dxa" w:w="80"/>
              <w:right w:type="dxa" w:w="100"/>
            </w:tcMar>
          </w:tcPr>
          <w:p>
            <w:pPr>
              <w:spacing w:after="0" w:before="0"/>
            </w:pPr>
            <w:r>
              <w:rPr>
                <w:rFonts w:ascii="Times New Roman" w:cs="Times New Roman" w:eastAsia="Times New Roman" w:hAnsi="Times New Roman"/>
                <w:b/>
                <w:bCs/>
                <w:color w:val="222222"/>
                <w:sz w:val="19"/>
                <w:szCs w:val="19"/>
              </w:rPr>
              <w:t xml:space="preserve">Criterio de selección</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Estonia</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76</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57</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2001</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Digitalización integral del Estado — modelo X-Road</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Chile</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67</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52</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2003</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Transparencia en contratación pública en AL</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Uruguay</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73</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58</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2005</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Gobierno digital en contexto latinoamericano similar</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Corea del Sur</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63</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42</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1999</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Primera generación anticorrupción digital — sistema OPEN</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Singapur</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84</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~25</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1960</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Tolerancia cero — modelo CPIB con control cruzado</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Hong Kong</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76</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~40</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1974</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ICAC — modelo anticorrupción más copiado del mundo</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Nueva Zelanda</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88</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~75</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1988</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Marco legal robusto — State Sector Act</w:t>
            </w:r>
          </w:p>
        </w:tc>
      </w:tr>
      <w:tr>
        <w:tc>
          <w:tcPr>
            <w:tcW w:type="dxa" w:w="14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Dinamarca</w:t>
            </w:r>
          </w:p>
        </w:tc>
        <w:tc>
          <w:tcPr>
            <w:tcW w:type="dxa" w:w="10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90</w:t>
            </w:r>
          </w:p>
        </w:tc>
        <w:tc>
          <w:tcPr>
            <w:tcW w:type="dxa" w:w="16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~70</w:t>
            </w:r>
          </w:p>
        </w:tc>
        <w:tc>
          <w:tcPr>
            <w:tcW w:type="dxa" w:w="150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1970s</w:t>
            </w:r>
          </w:p>
        </w:tc>
        <w:tc>
          <w:tcPr>
            <w:tcW w:type="dxa" w:w="3860"/>
            <w:tcBorders>
              <w:top w:val="single" w:color="BBBBBB" w:sz="4" w:space="0"/>
              <w:left w:val="none" w:color="FFFFFF" w:sz="0" w:space="0"/>
              <w:bottom w:val="single" w:color="BBBBBB" w:sz="4" w:space="0"/>
              <w:right w:val="none" w:color="FFFFFF" w:sz="0" w:space="0"/>
            </w:tcBorders>
            <w:shd w:fill="FFFFFF" w:val="clear"/>
            <w:tcMar>
              <w:top w:type="dxa" w:w="70"/>
              <w:left w:type="dxa" w:w="100"/>
              <w:bottom w:type="dxa" w:w="70"/>
              <w:right w:type="dxa" w:w="100"/>
            </w:tcMar>
          </w:tcPr>
          <w:p>
            <w:pPr>
              <w:spacing w:after="0" w:before="0"/>
            </w:pPr>
            <w:r>
              <w:rPr>
                <w:rFonts w:ascii="Times New Roman" w:cs="Times New Roman" w:eastAsia="Times New Roman" w:hAnsi="Times New Roman"/>
                <w:sz w:val="18"/>
                <w:szCs w:val="18"/>
              </w:rPr>
              <w:t xml:space="preserve">País menos corrupto del mundo — modelo cultural-institucional</w:t>
            </w:r>
          </w:p>
        </w:tc>
      </w:tr>
    </w:tbl>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3.3. Dimensiones de análisis</w:t>
      </w:r>
    </w:p>
    <w:p>
      <w:pPr>
        <w:spacing w:after="180" w:before="0" w:line="360" w:lineRule="auto"/>
        <w:jc w:val="both"/>
      </w:pPr>
      <w:r>
        <w:rPr>
          <w:rFonts w:ascii="Times New Roman" w:cs="Times New Roman" w:eastAsia="Times New Roman" w:hAnsi="Times New Roman"/>
          <w:sz w:val="22"/>
          <w:szCs w:val="22"/>
        </w:rPr>
        <w:t xml:space="preserve">El análisis de cada caso se estructuró en torno a tres dimensiones derivadas del marco teórico. La primera dimensión es la arquitectura tecnológica: qué sistemas digitales componen el modelo, cómo están conectados entre sí y qué capacidades de detección y alerta tienen. La segunda dimensión es el marco legal e institucional: qué legislación sustenta el sistema, cómo se garantiza la autonomía de los organismos de control y qué mecanismos de rendición de cuentas existen. La tercera dimensión es la sostenibilidad: qué mecanismos han garantizado que el sistema funcione independientemente del gobierno de turno y qué factores explican su permanencia en el tiempo.</w:t>
      </w:r>
    </w:p>
    <w:p>
      <w:pPr>
        <w:pStyle w:val="Heading2"/>
        <w:spacing w:after="140" w:before="280"/>
      </w:pPr>
      <w:r>
        <w:rPr>
          <w:rFonts w:ascii="Arial" w:cs="Arial" w:eastAsia="Arial" w:hAnsi="Arial"/>
          <w:b/>
          <w:bCs/>
          <w:color w:val="0D1F3C"/>
          <w:sz w:val="24"/>
          <w:szCs w:val="24"/>
        </w:rPr>
        <w:t xml:space="preserve">3.4. Fuentes</w:t>
      </w:r>
    </w:p>
    <w:p>
      <w:pPr>
        <w:spacing w:after="180" w:before="0" w:line="360" w:lineRule="auto"/>
        <w:jc w:val="both"/>
      </w:pPr>
      <w:r>
        <w:rPr>
          <w:rFonts w:ascii="Times New Roman" w:cs="Times New Roman" w:eastAsia="Times New Roman" w:hAnsi="Times New Roman"/>
          <w:sz w:val="22"/>
          <w:szCs w:val="22"/>
        </w:rPr>
        <w:t xml:space="preserve">La información se obtuvo de fuentes primarias — documentos oficiales de los organismos de control, legislación vigente y reportes anuales — y secundarias — literatura académica revisada por pares, informes de organismos internacionales (Transparency International, UNODC, BID, Banco Mundial) y análisis comparados publicados en revistas indexadas. Las fuentes primarias fueron priorizadas para los datos cuantitativos y las fuentes secundarias para la interpretación de los mecanismos causales.</w:t>
      </w:r>
    </w:p>
    <w:p>
      <w:r>
        <w:br w:type="page"/>
      </w:r>
    </w:p>
    <w:p>
      <w:pPr>
        <w:pStyle w:val="Heading1"/>
        <w:spacing w:after="200" w:before="400"/>
      </w:pPr>
      <w:r>
        <w:rPr>
          <w:rFonts w:ascii="Arial" w:cs="Arial" w:eastAsia="Arial" w:hAnsi="Arial"/>
          <w:b/>
          <w:bCs/>
          <w:caps/>
          <w:color w:val="0D1F3C"/>
          <w:sz w:val="28"/>
          <w:szCs w:val="28"/>
        </w:rPr>
        <w:t xml:space="preserve">4. Análisis Comparado: Ocho Modelos de Referencia</w:t>
      </w:r>
    </w:p>
    <w:p>
      <w:pPr>
        <w:pStyle w:val="Heading2"/>
        <w:spacing w:after="140" w:before="280"/>
      </w:pPr>
      <w:r>
        <w:rPr>
          <w:rFonts w:ascii="Arial" w:cs="Arial" w:eastAsia="Arial" w:hAnsi="Arial"/>
          <w:b/>
          <w:bCs/>
          <w:color w:val="0D1F3C"/>
          <w:sz w:val="24"/>
          <w:szCs w:val="24"/>
        </w:rPr>
        <w:t xml:space="preserve">4.1. Estonia: la interoperabilidad como arquitectura anticorrupción</w:t>
      </w:r>
    </w:p>
    <w:p>
      <w:pPr>
        <w:spacing w:after="180" w:before="0" w:line="360" w:lineRule="auto"/>
        <w:jc w:val="both"/>
      </w:pPr>
      <w:r>
        <w:rPr>
          <w:rFonts w:ascii="Times New Roman" w:cs="Times New Roman" w:eastAsia="Times New Roman" w:hAnsi="Times New Roman"/>
          <w:sz w:val="22"/>
          <w:szCs w:val="22"/>
        </w:rPr>
        <w:t xml:space="preserve">Estonia constituye el referente global en digitalización integral del Estado. Tras recuperar su independencia en 1991 en condiciones de profunda debilidad institucional, el país optó por la tecnología como estrategia de desarrollo nacional. El sistema X-Road, lanzado en 2001, conectó todas las bases de datos del Estado en una plataforma de interoperabilidad que hoy integra más de mil organizaciones y 170 servicios digitales (RIA, 2023).</w:t>
      </w:r>
    </w:p>
    <w:p>
      <w:pPr>
        <w:spacing w:after="180" w:before="0" w:line="360" w:lineRule="auto"/>
        <w:jc w:val="both"/>
      </w:pPr>
      <w:r>
        <w:rPr>
          <w:rFonts w:ascii="Times New Roman" w:cs="Times New Roman" w:eastAsia="Times New Roman" w:hAnsi="Times New Roman"/>
          <w:sz w:val="22"/>
          <w:szCs w:val="22"/>
        </w:rPr>
        <w:t xml:space="preserve">El principio rector del modelo estonio es el de datos una sola vez (once only): el ciudadano nunca entrega al Estado información que este ya posee en otro sistema. Este principio eliminó la opacidad burocrática que históricamente había facilitado la corrupción en trámites administrativos. Adicionalmente, el sistema registra automáticamente cada acceso a datos personales, permitiendo que los ciudadanos verifiquen quién ha consultado su información, lo que genera un mecanismo de trazabilidad sin precedentes en el control del funcionariado.</w:t>
      </w:r>
    </w:p>
    <w:p>
      <w:pPr>
        <w:spacing w:after="180" w:before="0" w:line="360" w:lineRule="auto"/>
        <w:jc w:val="both"/>
      </w:pPr>
      <w:r>
        <w:rPr>
          <w:rFonts w:ascii="Times New Roman" w:cs="Times New Roman" w:eastAsia="Times New Roman" w:hAnsi="Times New Roman"/>
          <w:sz w:val="22"/>
          <w:szCs w:val="22"/>
        </w:rPr>
        <w:t xml:space="preserve">Sin embargo, la experiencia estonia también documenta vulnerabilidades relevantes para el diseño de sistemas similares en otros contextos. El ataque cibernético coordinado de 2007, atribuido a actores vinculados a Rusia, evidenció que la concentración de infraestructura digital en un solo país puede crear puntos de falla sistémica (Ottis, 2008). La respuesta estonia — distribución de la infraestructura en servidores internacionales con capacidad de restauración rápida — se convirtió en referente mundial para el diseño de sistemas resilientes.</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4.2. Chile: transparencia en contratación pública como vector anticorrupción</w:t>
      </w:r>
    </w:p>
    <w:p>
      <w:pPr>
        <w:spacing w:after="180" w:before="0" w:line="360" w:lineRule="auto"/>
        <w:jc w:val="both"/>
      </w:pPr>
      <w:r>
        <w:rPr>
          <w:rFonts w:ascii="Times New Roman" w:cs="Times New Roman" w:eastAsia="Times New Roman" w:hAnsi="Times New Roman"/>
          <w:sz w:val="22"/>
          <w:szCs w:val="22"/>
        </w:rPr>
        <w:t xml:space="preserve">Chile representa el modelo más avanzado de transparencia en contratación pública en América Latina. El sistema ChileCompra, lanzado en 2003, centralizó todas las compras del Estado en una plataforma pública que hoy procesa más de doce mil millones de dólares anuales en transacciones visibles para cualquier ciudadano (ChileCompra, 2023). La Ley de Transparencia de 2008 complementó este sistema con la obligatoriedad de publicar información sobre decisiones, presupuestos y remuneraciones de todos los organismos del Estado.</w:t>
      </w:r>
    </w:p>
    <w:p>
      <w:pPr>
        <w:spacing w:after="180" w:before="0" w:line="360" w:lineRule="auto"/>
        <w:jc w:val="both"/>
      </w:pPr>
      <w:r>
        <w:rPr>
          <w:rFonts w:ascii="Times New Roman" w:cs="Times New Roman" w:eastAsia="Times New Roman" w:hAnsi="Times New Roman"/>
          <w:sz w:val="22"/>
          <w:szCs w:val="22"/>
        </w:rPr>
        <w:t xml:space="preserve">El caso chileno es particularmente relevante para Ecuador porque ambos países comparten características institucionales similares: sistema presidencialista, tradición jurídica iberoamericana y economía parcialmente dependiente de la exportación de materias primas. La diferencia en el IPC entre los dos países — 67 versus 32 en 2024 — puede explicarse en gran medida por las inversiones institucionales que Chile realizó sostenidamente desde los años 2000 (Engel et al., 2003).</w:t>
      </w:r>
    </w:p>
    <w:p>
      <w:pPr>
        <w:spacing w:after="180" w:before="0" w:line="360" w:lineRule="auto"/>
        <w:jc w:val="both"/>
      </w:pPr>
      <w:r>
        <w:rPr>
          <w:rFonts w:ascii="Times New Roman" w:cs="Times New Roman" w:eastAsia="Times New Roman" w:hAnsi="Times New Roman"/>
          <w:sz w:val="22"/>
          <w:szCs w:val="22"/>
        </w:rPr>
        <w:t xml:space="preserve">No obstante, los casos de corrupción política descubiertos en Chile durante la segunda década del siglo XXI — especialmente los escándalos de financiamiento ilegal de campañas políticas (casos Penta y SQM, 2015) — revelaron que los sistemas de transparencia administrativa son insuficientes cuando la captura ocurre en el nivel político-partidario. Esta limitación sugiere que cualquier sistema anticorrupción eficaz debe incluir mecanismos específicos de transparencia en el financiamiento político.</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4.3. Uruguay: gobierno digital en contexto latinoamericano</w:t>
      </w:r>
    </w:p>
    <w:p>
      <w:pPr>
        <w:spacing w:after="180" w:before="0" w:line="360" w:lineRule="auto"/>
        <w:jc w:val="both"/>
      </w:pPr>
      <w:r>
        <w:rPr>
          <w:rFonts w:ascii="Times New Roman" w:cs="Times New Roman" w:eastAsia="Times New Roman" w:hAnsi="Times New Roman"/>
          <w:sz w:val="22"/>
          <w:szCs w:val="22"/>
        </w:rPr>
        <w:t xml:space="preserve">Uruguay ocupa consistentemente los primeros lugares en gobierno digital en América Latina según los índices de la ONU (UN E-Government Survey, 2024). La Agencia de Gobierno Electrónico y Sociedad de la Información (AGESIC), creada en 2005, coordinó la transformación digital del Estado uruguayo con una estrategia gradual que priorizó los servicios de mayor uso ciudadano antes de expandirse a toda la administración.</w:t>
      </w:r>
    </w:p>
    <w:p>
      <w:pPr>
        <w:spacing w:after="180" w:before="0" w:line="360" w:lineRule="auto"/>
        <w:jc w:val="both"/>
      </w:pPr>
      <w:r>
        <w:rPr>
          <w:rFonts w:ascii="Times New Roman" w:cs="Times New Roman" w:eastAsia="Times New Roman" w:hAnsi="Times New Roman"/>
          <w:sz w:val="22"/>
          <w:szCs w:val="22"/>
        </w:rPr>
        <w:t xml:space="preserve">La relevancia del caso uruguayo para la presente investigación radica en que demostró que es posible construir un gobierno digital efectivo en un país latinoamericano de tamaño mediano, con recursos limitados y sin grandes industrias tecnológicas propias. El portal único del Estado (gub.uy), con dominio institucional protegido que no cambia con cada gobierno, resolvió uno de los problemas estructurales más frecuentes en América Latina: la destrucción del capital digital acumulado con cada cambio de administración.</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4.4. Corea del Sur: el modelo OPEN y la visibilidad de los trámites</w:t>
      </w:r>
    </w:p>
    <w:p>
      <w:pPr>
        <w:spacing w:after="180" w:before="0" w:line="360" w:lineRule="auto"/>
        <w:jc w:val="both"/>
      </w:pPr>
      <w:r>
        <w:rPr>
          <w:rFonts w:ascii="Times New Roman" w:cs="Times New Roman" w:eastAsia="Times New Roman" w:hAnsi="Times New Roman"/>
          <w:sz w:val="22"/>
          <w:szCs w:val="22"/>
        </w:rPr>
        <w:t xml:space="preserve">El sistema OPEN (Online Procedures Enhancement for Civil Applications), lanzado por la ciudad de Seúl en 1999, constituye uno de los experimentos más documentados en el uso de la tecnología para combatir la corrupción en trámites ciudadanos (Kim y Kim, 2003). El sistema permitió a cualquier ciudadano rastrear en tiempo real el estado de su solicitud ante la administración municipal, con el nombre visible del funcionario responsable en cada etapa del proceso.</w:t>
      </w:r>
    </w:p>
    <w:p>
      <w:pPr>
        <w:spacing w:after="180" w:before="0" w:line="360" w:lineRule="auto"/>
        <w:jc w:val="both"/>
      </w:pPr>
      <w:r>
        <w:rPr>
          <w:rFonts w:ascii="Times New Roman" w:cs="Times New Roman" w:eastAsia="Times New Roman" w:hAnsi="Times New Roman"/>
          <w:sz w:val="22"/>
          <w:szCs w:val="22"/>
        </w:rPr>
        <w:t xml:space="preserve">El resultado empírico más significativo fue que la visibilidad del proceso fue suficiente para reducir dramáticamente la corrupción en trámites sin necesidad de incrementar las sanciones. El mecanismo causal es consistente con el marco teórico de Klitgaard (1988): la visibilidad redujo la discrecionalidad, que es la variable que el funcionario necesita para exigir sobornos. La ONU reconoció el sistema OPEN como modelo global de buenas prácticas en gobierno electrónico en 2001 (UN Public Service Award, 2001).</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4.5. Singapur: autonomía institucional y control cruzado</w:t>
      </w:r>
    </w:p>
    <w:p>
      <w:pPr>
        <w:spacing w:after="180" w:before="0" w:line="360" w:lineRule="auto"/>
        <w:jc w:val="both"/>
      </w:pPr>
      <w:r>
        <w:rPr>
          <w:rFonts w:ascii="Times New Roman" w:cs="Times New Roman" w:eastAsia="Times New Roman" w:hAnsi="Times New Roman"/>
          <w:sz w:val="22"/>
          <w:szCs w:val="22"/>
        </w:rPr>
        <w:t xml:space="preserve">Singapur representa el modelo más avanzado en términos de autonomía institucional y diseño de controles cruzados. El Corrupt Practices Investigation Bureau (CPIB), reformado radicalmente en 1960, opera bajo la Oficina del Primer Ministro en términos administrativos pero goza de independencia operativa total, incluyendo la facultad de investigar al propio Primer Ministro con autorización del Presidente de la República — cargo distinto con mandato independiente (CPIB, 2023).</w:t>
      </w:r>
    </w:p>
    <w:p>
      <w:pPr>
        <w:spacing w:after="180" w:before="0" w:line="360" w:lineRule="auto"/>
        <w:jc w:val="both"/>
      </w:pPr>
      <w:r>
        <w:rPr>
          <w:rFonts w:ascii="Times New Roman" w:cs="Times New Roman" w:eastAsia="Times New Roman" w:hAnsi="Times New Roman"/>
          <w:sz w:val="22"/>
          <w:szCs w:val="22"/>
        </w:rPr>
        <w:t xml:space="preserve">La Prevention of Corruption Act establece el principio de inversión parcial de la carga de la prueba para funcionarios públicos: si un funcionario posee bienes cuyo valor supera significativamente su patrimonio declarado al inicio del cargo y no puede demostrar su origen lícito, ese diferencial constituye evidencia suficiente para iniciar investigación penal. Este principio, consistente con la experiencia comparada de jurisdicciones de alta integridad, representa una de las innovaciones legales más eficaces en la lucha contra el enriquecimiento ilícito.</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4.6. Hong Kong: los tres pilares del ICAC</w:t>
      </w:r>
    </w:p>
    <w:p>
      <w:pPr>
        <w:spacing w:after="180" w:before="0" w:line="360" w:lineRule="auto"/>
        <w:jc w:val="both"/>
      </w:pPr>
      <w:r>
        <w:rPr>
          <w:rFonts w:ascii="Times New Roman" w:cs="Times New Roman" w:eastAsia="Times New Roman" w:hAnsi="Times New Roman"/>
          <w:sz w:val="22"/>
          <w:szCs w:val="22"/>
        </w:rPr>
        <w:t xml:space="preserve">La Independent Commission Against Corruption (ICAC) de Hong Kong, creada en 1974 en respuesta a un escándalo policial de proporciones históricas, constituye el modelo institucional anticorrupción más copiado del mundo, replicado total o parcialmente en más de cuarenta jurisdicciones (ICAC, 2023). Su diseño descansa en tres pilares complementarios: investigación y procesamiento de casos, prevención mediante auditoría de sistemas institucionales y educación ciudadana para construir cultura de rechazo activo a la corrupción.</w:t>
      </w:r>
    </w:p>
    <w:p>
      <w:pPr>
        <w:spacing w:after="180" w:before="0" w:line="360" w:lineRule="auto"/>
        <w:jc w:val="both"/>
      </w:pPr>
      <w:r>
        <w:rPr>
          <w:rFonts w:ascii="Times New Roman" w:cs="Times New Roman" w:eastAsia="Times New Roman" w:hAnsi="Times New Roman"/>
          <w:sz w:val="22"/>
          <w:szCs w:val="22"/>
        </w:rPr>
        <w:t xml:space="preserve">La dimensión preventiva del ICAC es la más frecuentemente ignorada en los modelos que intentan replicarlo. La práctica de auditar los sistemas institucionales antes de que ocurran los hechos de corrupción, identificando y eliminando los puntos ciegos que los facilitan, es más eficiente en términos de costo-beneficio que la persecución ex post de casos ya consumados. Esta lógica es coherente con la propuesta del SNIP, cuyo módulo de alerta temprana opera bajo el mismo principio de anticipación preventiva.</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4.7. Nueva Zelanda y Dinamarca: cuando la institución se convierte en cultura</w:t>
      </w:r>
    </w:p>
    <w:p>
      <w:pPr>
        <w:spacing w:after="180" w:before="0" w:line="360" w:lineRule="auto"/>
        <w:jc w:val="both"/>
      </w:pPr>
      <w:r>
        <w:rPr>
          <w:rFonts w:ascii="Times New Roman" w:cs="Times New Roman" w:eastAsia="Times New Roman" w:hAnsi="Times New Roman"/>
          <w:sz w:val="22"/>
          <w:szCs w:val="22"/>
        </w:rPr>
        <w:t xml:space="preserve">Nueva Zelanda y Dinamarca representan el estadio más avanzado del desarrollo institucional anticorrupción: aquel en que los mecanismos formales están tan internalizados en la cultura organizacional del Estado que la corrupción es estructuralmente excepcional antes que sistemática. En ambos casos, la fortaleza del sistema no reside en ningún organismo específico sino en la combinación de legislación de información pública robusta, independencia judicial efectiva, financiamiento político transparente y prensa libre con capacidad investigativa real.</w:t>
      </w:r>
    </w:p>
    <w:p>
      <w:pPr>
        <w:spacing w:after="180" w:before="0" w:line="360" w:lineRule="auto"/>
        <w:jc w:val="both"/>
      </w:pPr>
      <w:r>
        <w:rPr>
          <w:rFonts w:ascii="Times New Roman" w:cs="Times New Roman" w:eastAsia="Times New Roman" w:hAnsi="Times New Roman"/>
          <w:sz w:val="22"/>
          <w:szCs w:val="22"/>
        </w:rPr>
        <w:t xml:space="preserve">La lección más relevante de estos dos casos para Ecuador no es la tecnología ni la ley en sí mismas, sino el horizonte temporal de las reformas. Dinamarca alcanzó su posición actual a través de transformaciones graduales que comenzaron en los años setenta y se consolidaron a lo largo de dos décadas. Nueva Zelanda realizó su reforma estructural del servicio civil en 1988 y tardó casi una década en ver resultados medibles en los indicadores de percepción. Esta temporalidad es incompatible con los ciclos electorales cortos y genera el mayor riesgo de abandono de las reformas antes de que maduren.</w:t>
      </w:r>
    </w:p>
    <w:p>
      <w:r>
        <w:br w:type="page"/>
      </w:r>
    </w:p>
    <w:p>
      <w:pPr>
        <w:pStyle w:val="Heading1"/>
        <w:spacing w:after="200" w:before="400"/>
      </w:pPr>
      <w:r>
        <w:rPr>
          <w:rFonts w:ascii="Arial" w:cs="Arial" w:eastAsia="Arial" w:hAnsi="Arial"/>
          <w:b/>
          <w:bCs/>
          <w:caps/>
          <w:color w:val="0D1F3C"/>
          <w:sz w:val="28"/>
          <w:szCs w:val="28"/>
        </w:rPr>
        <w:t xml:space="preserve">5. Hallazgos y Propuesta: El Sistema Nacional de Integridad Pública (SNIP)</w:t>
      </w:r>
    </w:p>
    <w:p>
      <w:pPr>
        <w:pStyle w:val="Heading2"/>
        <w:spacing w:after="140" w:before="280"/>
      </w:pPr>
      <w:r>
        <w:rPr>
          <w:rFonts w:ascii="Arial" w:cs="Arial" w:eastAsia="Arial" w:hAnsi="Arial"/>
          <w:b/>
          <w:bCs/>
          <w:color w:val="0D1F3C"/>
          <w:sz w:val="24"/>
          <w:szCs w:val="24"/>
        </w:rPr>
        <w:t xml:space="preserve">5.1. Patrones comunes en los modelos exitosos</w:t>
      </w:r>
    </w:p>
    <w:p>
      <w:pPr>
        <w:spacing w:after="180" w:before="0" w:line="360" w:lineRule="auto"/>
        <w:jc w:val="both"/>
      </w:pPr>
      <w:r>
        <w:rPr>
          <w:rFonts w:ascii="Times New Roman" w:cs="Times New Roman" w:eastAsia="Times New Roman" w:hAnsi="Times New Roman"/>
          <w:sz w:val="22"/>
          <w:szCs w:val="22"/>
        </w:rPr>
        <w:t xml:space="preserve">El análisis comparado de los ocho casos permite identificar cinco patrones comunes que explican la efectividad y sostenibilidad de los sistemas anticorrupción más exitosos, independientemente de sus diferencias contextuales.</w:t>
      </w:r>
    </w:p>
    <w:p>
      <w:pPr>
        <w:spacing w:after="180" w:before="0" w:line="360" w:lineRule="auto"/>
        <w:jc w:val="both"/>
      </w:pPr>
      <w:r>
        <w:rPr>
          <w:rFonts w:ascii="Times New Roman" w:cs="Times New Roman" w:eastAsia="Times New Roman" w:hAnsi="Times New Roman"/>
          <w:sz w:val="22"/>
          <w:szCs w:val="22"/>
        </w:rPr>
        <w:t xml:space="preserve">Un elemento adicional que la evidencia comparada señala como condición de viabilidad en contextos de alta inseguridad institucional es la protección física garantizada de los directores del organismo anticorrupción. En Singapur y Hong Kong, atacar a un director del CPIB o el ICAC en ejercicio de sus funciones constituye un delito autónomo con pena agravada. En Ecuador, con presencia documentada de organizaciones criminales que han penetrado el sistema judicial y policial, esta protección debe estar explícitamente contemplada en la Ley Orgánica del SNIP desde su diseño inicial.</w:t>
      </w:r>
    </w:p>
    <w:p>
      <w:pPr>
        <w:spacing w:after="180" w:before="0" w:line="360" w:lineRule="auto"/>
        <w:jc w:val="both"/>
      </w:pPr>
      <w:r>
        <w:rPr>
          <w:rFonts w:ascii="Times New Roman" w:cs="Times New Roman" w:eastAsia="Times New Roman" w:hAnsi="Times New Roman"/>
          <w:sz w:val="22"/>
          <w:szCs w:val="22"/>
        </w:rPr>
        <w:t xml:space="preserve">El primer patrón es la autonomía institucional blindada. En todos los casos exitosos, los organismos de control tienen independencia real — no solo formal — respecto del gobierno de turno. Esa independencia está garantizada por mecanismos de selección de directivos que no dependen del Ejecutivo, presupuestos protegidos constitucionalmente y mandatos fijos con causas taxativas de remoción.</w:t>
      </w:r>
    </w:p>
    <w:p>
      <w:pPr>
        <w:spacing w:after="180" w:before="0" w:line="360" w:lineRule="auto"/>
        <w:jc w:val="both"/>
      </w:pPr>
      <w:r>
        <w:rPr>
          <w:rFonts w:ascii="Times New Roman" w:cs="Times New Roman" w:eastAsia="Times New Roman" w:hAnsi="Times New Roman"/>
          <w:sz w:val="22"/>
          <w:szCs w:val="22"/>
        </w:rPr>
        <w:t xml:space="preserve">El segundo patrón es la creación de incentivos alineados. Los sistemas más efectivos no dependen de que los funcionarios sean virtuosos. Diseñan estructuras donde el costo de corromperse es sistemáticamente mayor que el beneficio esperado: confiscación de bienes, inhabilitación permanente, responsabilidad penal de las empresas vinculadas y visibilidad pública del proceso de investigación.</w:t>
      </w:r>
    </w:p>
    <w:p>
      <w:pPr>
        <w:spacing w:after="180" w:before="0" w:line="360" w:lineRule="auto"/>
        <w:jc w:val="both"/>
      </w:pPr>
      <w:r>
        <w:rPr>
          <w:rFonts w:ascii="Times New Roman" w:cs="Times New Roman" w:eastAsia="Times New Roman" w:hAnsi="Times New Roman"/>
          <w:sz w:val="22"/>
          <w:szCs w:val="22"/>
        </w:rPr>
        <w:t xml:space="preserve">El tercer patrón es la transparencia radical con datos accionables. Publicar datos es necesario pero insuficiente. Lo que distingue a los sistemas efectivos es que sus datos son estructurados, comparables en el tiempo, cruzables con otras fuentes y vinculados a protocolos de acción institucional cuando detectan anomalías.</w:t>
      </w:r>
    </w:p>
    <w:p>
      <w:pPr>
        <w:spacing w:after="180" w:before="0" w:line="360" w:lineRule="auto"/>
        <w:jc w:val="both"/>
      </w:pPr>
      <w:r>
        <w:rPr>
          <w:rFonts w:ascii="Times New Roman" w:cs="Times New Roman" w:eastAsia="Times New Roman" w:hAnsi="Times New Roman"/>
          <w:sz w:val="22"/>
          <w:szCs w:val="22"/>
        </w:rPr>
        <w:t xml:space="preserve">El cuarto patrón es la sostenibilidad a través de la cultura. Los sistemas que sobreviven más de dos ciclos electorales son los que construyen paralelamente a su arquitectura técnica una cultura ciudadana de rechazo activo a la corrupción, a través de educación, comunicación pública y participación directa en los mecanismos de control.</w:t>
      </w:r>
    </w:p>
    <w:p>
      <w:pPr>
        <w:spacing w:after="180" w:before="0" w:line="360" w:lineRule="auto"/>
        <w:jc w:val="both"/>
      </w:pPr>
      <w:r>
        <w:rPr>
          <w:rFonts w:ascii="Times New Roman" w:cs="Times New Roman" w:eastAsia="Times New Roman" w:hAnsi="Times New Roman"/>
          <w:sz w:val="22"/>
          <w:szCs w:val="22"/>
        </w:rPr>
        <w:t xml:space="preserve">El quinto patrón es el anclaje internacional. Los sistemas que tienen vínculos con organismos internacionales — tratados vinculantes, membresías en redes anticorrupción, participación en mecanismos de seguimiento como el GRECO o el MESICIC — son más resistentes a la captura política porque cualquier intento de desmantelamiento genera costos reputacionales y diplomáticos que los gobiernos no quieren pagar.</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5.2. El SNIP: diseño conceptual</w:t>
      </w:r>
    </w:p>
    <w:p>
      <w:pPr>
        <w:spacing w:after="180" w:before="0" w:line="360" w:lineRule="auto"/>
        <w:jc w:val="both"/>
      </w:pPr>
      <w:r>
        <w:rPr>
          <w:rFonts w:ascii="Times New Roman" w:cs="Times New Roman" w:eastAsia="Times New Roman" w:hAnsi="Times New Roman"/>
          <w:sz w:val="22"/>
          <w:szCs w:val="22"/>
        </w:rPr>
        <w:t xml:space="preserve">Con base en los cinco patrones identificados y en el diagnóstico de las capacidades y limitaciones del Estado ecuatoriano actual, se propone el Sistema Nacional de Integridad Pública (SNIP) como sistema integrado de detección temprana de fallas institucionales y riesgos de corrupción. El SNIP opera sobre el principio rector de que la inteligencia artificial solo analiza, alerta y notifica. Los humanos deciden y ejecutan.</w:t>
      </w:r>
    </w:p>
    <w:p>
      <w:pPr>
        <w:spacing w:after="180" w:before="0" w:line="360" w:lineRule="auto"/>
        <w:jc w:val="both"/>
      </w:pPr>
      <w:r>
        <w:rPr>
          <w:rFonts w:ascii="Times New Roman" w:cs="Times New Roman" w:eastAsia="Times New Roman" w:hAnsi="Times New Roman"/>
          <w:sz w:val="22"/>
          <w:szCs w:val="22"/>
        </w:rPr>
        <w:t xml:space="preserve">El SNIP se concibe como una quinta función constitucional horizontal con competencia transversal sobre todas las demás funciones del Estado, sin poderes de designación ni destitución. Esta naturaleza lo diferencia del CPCCS, cuya concentración de poderes lo hizo capturable políticamente. Para casos que involucran al Presidente de la República, un tribunal de cinco miembros con orígenes institucionales distintos decide si una investigación procede, siguiendo el principio del CPIB de Singapur pero adaptado a la estructura ecuatoriana.</w:t>
      </w:r>
    </w:p>
    <w:p>
      <w:pPr>
        <w:spacing w:after="180" w:before="0" w:line="360" w:lineRule="auto"/>
        <w:jc w:val="both"/>
      </w:pPr>
      <w:r>
        <w:rPr>
          <w:rFonts w:ascii="Times New Roman" w:cs="Times New Roman" w:eastAsia="Times New Roman" w:hAnsi="Times New Roman"/>
          <w:sz w:val="22"/>
          <w:szCs w:val="22"/>
        </w:rPr>
        <w:t xml:space="preserve">El sistema se articula en cuatro módulos complementarios diseñados sobre arquitectura compatible con el estándar ISO 20022, que desde noviembre de 2025 constituye el formato obligatorio de todos los mensajes de pago entre instituciones financieras a nivel global. El primero es el Motor de Análisis Jurídico (NLP Jurídico), que utiliza procesamiento de lenguaje natural para detectar contradicciones entre proyectos de ley y normas vigentes, identificar potenciales vulneraciones de derechos fundamentales en textos normativos y alertar sobre inconsistencias legales antes de que las normas sean aprobadas. El segundo es el Motor de Análisis Financiero, que cruza automáticamente los contratos registrados en el SERCOP con datos del SRI, el sistema bancario y el ecosistema de pagos digitales en formato ISO 20022, detectando sobreprecios, pagos a entidades relacionadas y movimientos financieros anómalos tanto en el sistema bancario tradicional como en plataformas de activos digitales. El tercero es el Módulo de Seguimiento Institucional, que rastea el desempeño, la asistencia y el cumplimiento de obligaciones de los funcionarios electos y designados. El cuarto es el Módulo Ciudadano, que centraliza denuncias verificadas, gestiona el proceso de revocatoria del mandato y publica paneles de desempeño institucional en tiempo real.</w:t>
      </w:r>
    </w:p>
    <w:p>
      <w:pPr>
        <w:spacing w:after="160" w:before="0"/>
      </w:pPr>
      <w:r>
        <w:rPr>
          <w:sz w:val="22"/>
          <w:szCs w:val="22"/>
        </w:rPr>
        <w:t xml:space="preserve"/>
      </w:r>
    </w:p>
    <w:p>
      <w:pPr>
        <w:pStyle w:val="Heading2"/>
        <w:spacing w:after="140" w:before="280"/>
      </w:pPr>
      <w:r>
        <w:rPr>
          <w:rFonts w:ascii="Arial" w:cs="Arial" w:eastAsia="Arial" w:hAnsi="Arial"/>
          <w:b/>
          <w:bCs/>
          <w:color w:val="0D1F3C"/>
          <w:sz w:val="24"/>
          <w:szCs w:val="24"/>
        </w:rPr>
        <w:t xml:space="preserve">5.3. Candados institucionales para la sostenibilidad</w:t>
      </w:r>
    </w:p>
    <w:p>
      <w:pPr>
        <w:spacing w:after="180" w:before="0" w:line="360" w:lineRule="auto"/>
        <w:jc w:val="both"/>
      </w:pPr>
      <w:r>
        <w:rPr>
          <w:rFonts w:ascii="Times New Roman" w:cs="Times New Roman" w:eastAsia="Times New Roman" w:hAnsi="Times New Roman"/>
          <w:sz w:val="22"/>
          <w:szCs w:val="22"/>
        </w:rPr>
        <w:t xml:space="preserve">El principal riesgo de cualquier sistema anticorrupción en contextos de captura estatal es que sea desmantelado gradualmente por los actores que controla. Para mitigar este riesgo, el diseño del SNIP incorpora seis mecanismos de protección articulados.</w:t>
      </w:r>
    </w:p>
    <w:p>
      <w:pPr>
        <w:spacing w:after="180" w:before="0" w:line="360" w:lineRule="auto"/>
        <w:jc w:val="both"/>
      </w:pPr>
      <w:r>
        <w:rPr>
          <w:rFonts w:ascii="Times New Roman" w:cs="Times New Roman" w:eastAsia="Times New Roman" w:hAnsi="Times New Roman"/>
          <w:sz w:val="22"/>
          <w:szCs w:val="22"/>
        </w:rPr>
        <w:t xml:space="preserve">El primero es el candado constitucional: la ley orgánica que crea el SNIP debe tener rango constitucional o ser refrendada por consulta popular. Para modificarla se requiere la concurrencia de tres condiciones simultáneas — mayoría calificada de la Asamblea, referéndum ciudadano favorable e informe vinculante de la Corte Constitucional — ninguna de las cuales es suficiente por sí sola.</w:t>
      </w:r>
    </w:p>
    <w:p>
      <w:pPr>
        <w:spacing w:after="180" w:before="0" w:line="360" w:lineRule="auto"/>
        <w:jc w:val="both"/>
      </w:pPr>
      <w:r>
        <w:rPr>
          <w:rFonts w:ascii="Times New Roman" w:cs="Times New Roman" w:eastAsia="Times New Roman" w:hAnsi="Times New Roman"/>
          <w:sz w:val="22"/>
          <w:szCs w:val="22"/>
        </w:rPr>
        <w:t xml:space="preserve">El segundo es el candado presupuestario: el presupuesto del SNIP se establece constitucionalmente como porcentaje fijo del Presupuesto General del Estado, no susceptible de reducción por decisión del Ejecutivo ni por mayoría simple de la Asamblea.</w:t>
      </w:r>
    </w:p>
    <w:p>
      <w:pPr>
        <w:spacing w:after="180" w:before="0" w:line="360" w:lineRule="auto"/>
        <w:jc w:val="both"/>
      </w:pPr>
      <w:r>
        <w:rPr>
          <w:rFonts w:ascii="Times New Roman" w:cs="Times New Roman" w:eastAsia="Times New Roman" w:hAnsi="Times New Roman"/>
          <w:sz w:val="22"/>
          <w:szCs w:val="22"/>
        </w:rPr>
        <w:t xml:space="preserve">El tercero es el candado de designación: los siete miembros del Directorio se seleccionan por sorteo ciudadano verificado entre candidatos que cumplan requisitos técnicos mínimos definidos en la ley, excluyendo a funcionarios activos, militantes partidarios y familiares de personas bajo investigación del sistema.</w:t>
      </w:r>
    </w:p>
    <w:p>
      <w:pPr>
        <w:spacing w:after="180" w:before="0" w:line="360" w:lineRule="auto"/>
        <w:jc w:val="both"/>
      </w:pPr>
      <w:r>
        <w:rPr>
          <w:rFonts w:ascii="Times New Roman" w:cs="Times New Roman" w:eastAsia="Times New Roman" w:hAnsi="Times New Roman"/>
          <w:sz w:val="22"/>
          <w:szCs w:val="22"/>
        </w:rPr>
        <w:t xml:space="preserve">El cuarto es el candado tecnológico: el código fuente del SNIP es de acceso público, cualquier modificación mayor requiere validación de al menos diez organizaciones técnicas independientes seleccionadas aleatoriamente, y existe una copia del sistema en infraestructura internacional fuera de Ecuador restaurable en menos de seis horas.</w:t>
      </w:r>
    </w:p>
    <w:p>
      <w:pPr>
        <w:spacing w:after="180" w:before="0" w:line="360" w:lineRule="auto"/>
        <w:jc w:val="both"/>
      </w:pPr>
      <w:r>
        <w:rPr>
          <w:rFonts w:ascii="Times New Roman" w:cs="Times New Roman" w:eastAsia="Times New Roman" w:hAnsi="Times New Roman"/>
          <w:sz w:val="22"/>
          <w:szCs w:val="22"/>
        </w:rPr>
        <w:t xml:space="preserve">El quinto es el candado internacional: el SNIP establece notificación automática a la UNODC, la OEA-MESICIC y la Contraloría de UNASUR ante cualquier intento de modificación no autorizada o reducción presupuestaria por debajo del umbral constitucional.</w:t>
      </w:r>
    </w:p>
    <w:p>
      <w:pPr>
        <w:spacing w:after="180" w:before="0" w:line="360" w:lineRule="auto"/>
        <w:jc w:val="both"/>
      </w:pPr>
      <w:r>
        <w:rPr>
          <w:rFonts w:ascii="Times New Roman" w:cs="Times New Roman" w:eastAsia="Times New Roman" w:hAnsi="Times New Roman"/>
          <w:sz w:val="22"/>
          <w:szCs w:val="22"/>
        </w:rPr>
        <w:t xml:space="preserve">El sexto es el candado penal: todo acto que busque obstaculizar, manipular o desmantelar el SNIP es tipificado como delito autónomo imprescriptible, incluyendo la designación irregular de directores, la reducción presupuestaria inconstitucional y las represalias contra funcionarios del sistema en ejercicio de sus funciones.</w:t>
      </w:r>
    </w:p>
    <w:p>
      <w:r>
        <w:br w:type="page"/>
      </w:r>
    </w:p>
    <w:p>
      <w:pPr>
        <w:pStyle w:val="Heading1"/>
        <w:spacing w:after="200" w:before="400"/>
      </w:pPr>
      <w:r>
        <w:rPr>
          <w:rFonts w:ascii="Arial" w:cs="Arial" w:eastAsia="Arial" w:hAnsi="Arial"/>
          <w:b/>
          <w:bCs/>
          <w:caps/>
          <w:color w:val="0D1F3C"/>
          <w:sz w:val="28"/>
          <w:szCs w:val="28"/>
        </w:rPr>
        <w:t xml:space="preserve">6. Conclusiones</w:t>
      </w:r>
    </w:p>
    <w:p>
      <w:pPr>
        <w:spacing w:after="180" w:before="0" w:line="360" w:lineRule="auto"/>
        <w:jc w:val="both"/>
      </w:pPr>
      <w:r>
        <w:rPr>
          <w:rFonts w:ascii="Times New Roman" w:cs="Times New Roman" w:eastAsia="Times New Roman" w:hAnsi="Times New Roman"/>
          <w:sz w:val="22"/>
          <w:szCs w:val="22"/>
        </w:rPr>
        <w:t xml:space="preserve">El análisis comparado de los ocho modelos estudiados permite sostener tres conclusiones con respaldo empírico suficiente para fundamentar la propuesta del SNIP como herramienta de política pública en Ecuador.</w:t>
      </w:r>
    </w:p>
    <w:p>
      <w:pPr>
        <w:spacing w:after="180" w:before="0" w:line="360" w:lineRule="auto"/>
        <w:jc w:val="both"/>
      </w:pPr>
      <w:r>
        <w:rPr>
          <w:rFonts w:ascii="Times New Roman" w:cs="Times New Roman" w:eastAsia="Times New Roman" w:hAnsi="Times New Roman"/>
          <w:sz w:val="22"/>
          <w:szCs w:val="22"/>
        </w:rPr>
        <w:t xml:space="preserve">La primera conclusión es que la corrupción no es una característica cultural inmutable de las sociedades sino el resultado de diseños institucionales que pueden modificarse deliberadamente. Singapur en 1959, Hong Kong en 1973 y Estonia en 1991 presentaban niveles de corrupción comparables o superiores a los del Ecuador actual. La diferencia entre su posición actual y la ecuatoriana es de diseño, no de cultura.</w:t>
      </w:r>
    </w:p>
    <w:p>
      <w:pPr>
        <w:spacing w:after="180" w:before="0" w:line="360" w:lineRule="auto"/>
        <w:jc w:val="both"/>
      </w:pPr>
      <w:r>
        <w:rPr>
          <w:rFonts w:ascii="Times New Roman" w:cs="Times New Roman" w:eastAsia="Times New Roman" w:hAnsi="Times New Roman"/>
          <w:sz w:val="22"/>
          <w:szCs w:val="22"/>
        </w:rPr>
        <w:t xml:space="preserve">La segunda conclusión es que la tecnología sin autonomía institucional tiene efectos limitados y puede ser capturada por los actores que busca controlar. Los casos de mayor impacto —CPIB de Singapur, ICAC de Hong Kong— no son los tecnológicamente más sofisticados sino los institucionalmente más blindados. La tecnología amplifica la capacidad de un sistema que ya goza de autonomía real; no puede sustituirla.</w:t>
      </w:r>
    </w:p>
    <w:p>
      <w:pPr>
        <w:spacing w:after="180" w:before="0" w:line="360" w:lineRule="auto"/>
        <w:jc w:val="both"/>
      </w:pPr>
      <w:r>
        <w:rPr>
          <w:rFonts w:ascii="Times New Roman" w:cs="Times New Roman" w:eastAsia="Times New Roman" w:hAnsi="Times New Roman"/>
          <w:sz w:val="22"/>
          <w:szCs w:val="22"/>
        </w:rPr>
        <w:t xml:space="preserve">La tercera conclusión es que la sostenibilidad de los sistemas anticorrupción depende más de sus mecanismos de protección ante la captura política que de su sofisticación técnica inicial. Los sistemas que sobreviven los cambios de gobierno son aquellos que distribuyen el control entre múltiples actores independientes, anclan su presupuesto en normas constitucionales y construyen una base ciudadana activa que los defiende como bien público.</w:t>
      </w:r>
    </w:p>
    <w:p>
      <w:pPr>
        <w:spacing w:after="180" w:before="0" w:line="360" w:lineRule="auto"/>
        <w:jc w:val="both"/>
      </w:pPr>
      <w:r>
        <w:rPr>
          <w:rFonts w:ascii="Times New Roman" w:cs="Times New Roman" w:eastAsia="Times New Roman" w:hAnsi="Times New Roman"/>
          <w:sz w:val="22"/>
          <w:szCs w:val="22"/>
        </w:rPr>
        <w:t xml:space="preserve">Estas tres conclusiones fundamentan el diseño del SNIP como sistema que combina capacidades tecnológicas de nueva generación con una arquitectura institucional de autonomía radical, protegida por candados múltiples que dificultan su captura sin necesidad de depender de la virtud de ningún gobernante en particular.</w:t>
      </w:r>
    </w:p>
    <w:p>
      <w:pPr>
        <w:spacing w:after="180" w:before="0" w:line="360" w:lineRule="auto"/>
        <w:jc w:val="both"/>
      </w:pPr>
      <w:r>
        <w:rPr>
          <w:rFonts w:ascii="Times New Roman" w:cs="Times New Roman" w:eastAsia="Times New Roman" w:hAnsi="Times New Roman"/>
          <w:sz w:val="22"/>
          <w:szCs w:val="22"/>
        </w:rPr>
        <w:t xml:space="preserve">Las principales limitaciones del presente trabajo son la dependencia de fuentes secundarias para los casos internacionales y la ausencia de datos primarios sobre la viabilidad política de la propuesta en el contexto ecuatoriano específico. Investigaciones futuras podrían complementar este análisis con entrevistas a actores políticos e institucionales en Ecuador, modelación de los costos y beneficios fiscales del sistema propuesto y análisis de la receptividad ciudadana a través de datos de encuestas.</w:t>
      </w:r>
    </w:p>
    <w:p>
      <w:pPr>
        <w:spacing w:after="160" w:before="0"/>
      </w:pPr>
      <w:r>
        <w:rPr>
          <w:sz w:val="22"/>
          <w:szCs w:val="22"/>
        </w:rPr>
        <w:t xml:space="preserve"/>
      </w:r>
    </w:p>
    <w:p>
      <w:pPr>
        <w:pStyle w:val="Heading1"/>
        <w:spacing w:after="200" w:before="400"/>
      </w:pPr>
      <w:r>
        <w:rPr>
          <w:rFonts w:ascii="Arial" w:cs="Arial" w:eastAsia="Arial" w:hAnsi="Arial"/>
          <w:b/>
          <w:bCs/>
          <w:caps/>
          <w:color w:val="0D1F3C"/>
          <w:sz w:val="28"/>
          <w:szCs w:val="28"/>
        </w:rPr>
        <w:t xml:space="preserve">Referencias</w:t>
      </w:r>
    </w:p>
    <w:p>
      <w:pPr>
        <w:spacing w:after="160" w:before="0"/>
      </w:pPr>
      <w:r>
        <w:rPr>
          <w:sz w:val="22"/>
          <w:szCs w:val="22"/>
        </w:rPr>
        <w:t xml:space="preserve"/>
      </w:r>
    </w:p>
    <w:p>
      <w:pPr>
        <w:spacing w:after="40" w:before="40"/>
      </w:pPr>
      <w:r>
        <w:rPr>
          <w:rFonts w:ascii="Times New Roman" w:cs="Times New Roman" w:eastAsia="Times New Roman" w:hAnsi="Times New Roman"/>
          <w:b/>
          <w:bCs/>
          <w:color w:val="444444"/>
          <w:sz w:val="18"/>
          <w:szCs w:val="18"/>
        </w:rPr>
        <w:t xml:space="preserve">1. </w:t>
      </w:r>
      <w:r>
        <w:rPr>
          <w:rFonts w:ascii="Times New Roman" w:cs="Times New Roman" w:eastAsia="Times New Roman" w:hAnsi="Times New Roman"/>
          <w:color w:val="444444"/>
          <w:sz w:val="18"/>
          <w:szCs w:val="18"/>
        </w:rPr>
        <w:t xml:space="preserve">Acemoglu, D. y Robinson, J. A. (2012). Por qué fracasan los países: los orígenes del poder, la prosperidad y la pobreza. Deusto.</w:t>
      </w:r>
    </w:p>
    <w:p>
      <w:pPr>
        <w:spacing w:after="40" w:before="40"/>
      </w:pPr>
      <w:r>
        <w:rPr>
          <w:rFonts w:ascii="Times New Roman" w:cs="Times New Roman" w:eastAsia="Times New Roman" w:hAnsi="Times New Roman"/>
          <w:b/>
          <w:bCs/>
          <w:color w:val="444444"/>
          <w:sz w:val="18"/>
          <w:szCs w:val="18"/>
        </w:rPr>
        <w:t xml:space="preserve">2. </w:t>
      </w:r>
      <w:r>
        <w:rPr>
          <w:rFonts w:ascii="Times New Roman" w:cs="Times New Roman" w:eastAsia="Times New Roman" w:hAnsi="Times New Roman"/>
          <w:color w:val="444444"/>
          <w:sz w:val="18"/>
          <w:szCs w:val="18"/>
        </w:rPr>
        <w:t xml:space="preserve">Bannister, F. y Connolly, R. (2012). Forward to the past: Lessons for the future of e-government from the story so far. Information Polity, 17(3-4), 211-226.</w:t>
      </w:r>
    </w:p>
    <w:p>
      <w:pPr>
        <w:spacing w:after="40" w:before="40"/>
      </w:pPr>
      <w:r>
        <w:rPr>
          <w:rFonts w:ascii="Times New Roman" w:cs="Times New Roman" w:eastAsia="Times New Roman" w:hAnsi="Times New Roman"/>
          <w:b/>
          <w:bCs/>
          <w:color w:val="444444"/>
          <w:sz w:val="18"/>
          <w:szCs w:val="18"/>
        </w:rPr>
        <w:t xml:space="preserve">3. </w:t>
      </w:r>
      <w:r>
        <w:rPr>
          <w:rFonts w:ascii="Times New Roman" w:cs="Times New Roman" w:eastAsia="Times New Roman" w:hAnsi="Times New Roman"/>
          <w:color w:val="444444"/>
          <w:sz w:val="18"/>
          <w:szCs w:val="18"/>
        </w:rPr>
        <w:t xml:space="preserve">ChileCompra. (2023). Informe anual del mercado público de Chile. Dirección ChileCompra. https://www.chilecompra.cl</w:t>
      </w:r>
    </w:p>
    <w:p>
      <w:pPr>
        <w:spacing w:after="40" w:before="40"/>
      </w:pPr>
      <w:r>
        <w:rPr>
          <w:rFonts w:ascii="Times New Roman" w:cs="Times New Roman" w:eastAsia="Times New Roman" w:hAnsi="Times New Roman"/>
          <w:b/>
          <w:bCs/>
          <w:color w:val="444444"/>
          <w:sz w:val="18"/>
          <w:szCs w:val="18"/>
        </w:rPr>
        <w:t xml:space="preserve">4. </w:t>
      </w:r>
      <w:r>
        <w:rPr>
          <w:rFonts w:ascii="Times New Roman" w:cs="Times New Roman" w:eastAsia="Times New Roman" w:hAnsi="Times New Roman"/>
          <w:color w:val="444444"/>
          <w:sz w:val="18"/>
          <w:szCs w:val="18"/>
        </w:rPr>
        <w:t xml:space="preserve">CPIB. (2023). Annual report 2022/2023. Corrupt Practices Investigation Bureau, Singapore. https://www.cpib.gov.sg</w:t>
      </w:r>
    </w:p>
    <w:p>
      <w:pPr>
        <w:spacing w:after="40" w:before="40"/>
      </w:pPr>
      <w:r>
        <w:rPr>
          <w:rFonts w:ascii="Times New Roman" w:cs="Times New Roman" w:eastAsia="Times New Roman" w:hAnsi="Times New Roman"/>
          <w:b/>
          <w:bCs/>
          <w:color w:val="444444"/>
          <w:sz w:val="18"/>
          <w:szCs w:val="18"/>
        </w:rPr>
        <w:t xml:space="preserve">5. </w:t>
      </w:r>
      <w:r>
        <w:rPr>
          <w:rFonts w:ascii="Times New Roman" w:cs="Times New Roman" w:eastAsia="Times New Roman" w:hAnsi="Times New Roman"/>
          <w:color w:val="444444"/>
          <w:sz w:val="18"/>
          <w:szCs w:val="18"/>
        </w:rPr>
        <w:t xml:space="preserve">Engel, E., Fischer, R. y Galetovic, A. (2003). Privatizing highways in Latin America: Is it possible to fix what went wrong? Economía, 4(1), 129-164.</w:t>
      </w:r>
    </w:p>
    <w:p>
      <w:pPr>
        <w:spacing w:after="40" w:before="40"/>
      </w:pPr>
      <w:r>
        <w:rPr>
          <w:rFonts w:ascii="Times New Roman" w:cs="Times New Roman" w:eastAsia="Times New Roman" w:hAnsi="Times New Roman"/>
          <w:b/>
          <w:bCs/>
          <w:color w:val="444444"/>
          <w:sz w:val="18"/>
          <w:szCs w:val="18"/>
        </w:rPr>
        <w:t xml:space="preserve">6. </w:t>
      </w:r>
      <w:r>
        <w:rPr>
          <w:rFonts w:ascii="Times New Roman" w:cs="Times New Roman" w:eastAsia="Times New Roman" w:hAnsi="Times New Roman"/>
          <w:color w:val="444444"/>
          <w:sz w:val="18"/>
          <w:szCs w:val="18"/>
        </w:rPr>
        <w:t xml:space="preserve">Fukuyama, F. (2014). Political order and political decay: From the Industrial Revolution to the globalization of democracy. Farrar, Straus and Giroux.</w:t>
      </w:r>
    </w:p>
    <w:p>
      <w:pPr>
        <w:spacing w:after="40" w:before="40"/>
      </w:pPr>
      <w:r>
        <w:rPr>
          <w:rFonts w:ascii="Times New Roman" w:cs="Times New Roman" w:eastAsia="Times New Roman" w:hAnsi="Times New Roman"/>
          <w:b/>
          <w:bCs/>
          <w:color w:val="444444"/>
          <w:sz w:val="18"/>
          <w:szCs w:val="18"/>
        </w:rPr>
        <w:t xml:space="preserve">7. </w:t>
      </w:r>
      <w:r>
        <w:rPr>
          <w:rFonts w:ascii="Times New Roman" w:cs="Times New Roman" w:eastAsia="Times New Roman" w:hAnsi="Times New Roman"/>
          <w:color w:val="444444"/>
          <w:sz w:val="18"/>
          <w:szCs w:val="18"/>
        </w:rPr>
        <w:t xml:space="preserve">Ginsburg, T. y Simpser, A. (2013). Constitutions in authoritarian regimes. Cambridge University Press.</w:t>
      </w:r>
    </w:p>
    <w:p>
      <w:pPr>
        <w:spacing w:after="40" w:before="40"/>
      </w:pPr>
      <w:r>
        <w:rPr>
          <w:rFonts w:ascii="Times New Roman" w:cs="Times New Roman" w:eastAsia="Times New Roman" w:hAnsi="Times New Roman"/>
          <w:b/>
          <w:bCs/>
          <w:color w:val="444444"/>
          <w:sz w:val="18"/>
          <w:szCs w:val="18"/>
        </w:rPr>
        <w:t xml:space="preserve">8. </w:t>
      </w:r>
      <w:r>
        <w:rPr>
          <w:rFonts w:ascii="Times New Roman" w:cs="Times New Roman" w:eastAsia="Times New Roman" w:hAnsi="Times New Roman"/>
          <w:color w:val="444444"/>
          <w:sz w:val="18"/>
          <w:szCs w:val="18"/>
        </w:rPr>
        <w:t xml:space="preserve">Huther, J. y Shah, A. (2000). Anti-corruption policies and programs: A framework for evaluation. World Bank Policy Research Working Paper No. 2501.</w:t>
      </w:r>
    </w:p>
    <w:p>
      <w:pPr>
        <w:spacing w:after="40" w:before="40"/>
      </w:pPr>
      <w:r>
        <w:rPr>
          <w:rFonts w:ascii="Times New Roman" w:cs="Times New Roman" w:eastAsia="Times New Roman" w:hAnsi="Times New Roman"/>
          <w:b/>
          <w:bCs/>
          <w:color w:val="444444"/>
          <w:sz w:val="18"/>
          <w:szCs w:val="18"/>
        </w:rPr>
        <w:t xml:space="preserve">9. </w:t>
      </w:r>
      <w:r>
        <w:rPr>
          <w:rFonts w:ascii="Times New Roman" w:cs="Times New Roman" w:eastAsia="Times New Roman" w:hAnsi="Times New Roman"/>
          <w:color w:val="444444"/>
          <w:sz w:val="18"/>
          <w:szCs w:val="18"/>
        </w:rPr>
        <w:t xml:space="preserve">ICAC. (2023). Annual report 2022. Independent Commission Against Corruption, Hong Kong. https://www.icac.org.hk</w:t>
      </w:r>
    </w:p>
    <w:p>
      <w:pPr>
        <w:spacing w:after="40" w:before="40"/>
      </w:pPr>
      <w:r>
        <w:rPr>
          <w:rFonts w:ascii="Times New Roman" w:cs="Times New Roman" w:eastAsia="Times New Roman" w:hAnsi="Times New Roman"/>
          <w:b/>
          <w:bCs/>
          <w:color w:val="444444"/>
          <w:sz w:val="18"/>
          <w:szCs w:val="18"/>
        </w:rPr>
        <w:t xml:space="preserve">10. </w:t>
      </w:r>
      <w:r>
        <w:rPr>
          <w:rFonts w:ascii="Times New Roman" w:cs="Times New Roman" w:eastAsia="Times New Roman" w:hAnsi="Times New Roman"/>
          <w:color w:val="444444"/>
          <w:sz w:val="18"/>
          <w:szCs w:val="18"/>
        </w:rPr>
        <w:t xml:space="preserve">Kim, C. K. y Kim, J. (2003). A bureaucratic corruption model with heterogeneous public officials. European Journal of Political Economy, 19(1), 25-38.</w:t>
      </w:r>
    </w:p>
    <w:p>
      <w:pPr>
        <w:spacing w:after="40" w:before="40"/>
      </w:pPr>
      <w:r>
        <w:rPr>
          <w:rFonts w:ascii="Times New Roman" w:cs="Times New Roman" w:eastAsia="Times New Roman" w:hAnsi="Times New Roman"/>
          <w:b/>
          <w:bCs/>
          <w:color w:val="444444"/>
          <w:sz w:val="18"/>
          <w:szCs w:val="18"/>
        </w:rPr>
        <w:t xml:space="preserve">11. </w:t>
      </w:r>
      <w:r>
        <w:rPr>
          <w:rFonts w:ascii="Times New Roman" w:cs="Times New Roman" w:eastAsia="Times New Roman" w:hAnsi="Times New Roman"/>
          <w:color w:val="444444"/>
          <w:sz w:val="18"/>
          <w:szCs w:val="18"/>
        </w:rPr>
        <w:t xml:space="preserve">Klitgaard, R. (1988). Controlling corruption. University of California Press.</w:t>
      </w:r>
    </w:p>
    <w:p>
      <w:pPr>
        <w:spacing w:after="40" w:before="40"/>
      </w:pPr>
      <w:r>
        <w:rPr>
          <w:rFonts w:ascii="Times New Roman" w:cs="Times New Roman" w:eastAsia="Times New Roman" w:hAnsi="Times New Roman"/>
          <w:b/>
          <w:bCs/>
          <w:color w:val="444444"/>
          <w:sz w:val="18"/>
          <w:szCs w:val="18"/>
        </w:rPr>
        <w:t xml:space="preserve">12. </w:t>
      </w:r>
      <w:r>
        <w:rPr>
          <w:rFonts w:ascii="Times New Roman" w:cs="Times New Roman" w:eastAsia="Times New Roman" w:hAnsi="Times New Roman"/>
          <w:color w:val="444444"/>
          <w:sz w:val="18"/>
          <w:szCs w:val="18"/>
        </w:rPr>
        <w:t xml:space="preserve">Lijphart, A. (1971). Comparative politics and the comparative method. American Political Science Review, 65(3), 682-693.</w:t>
      </w:r>
    </w:p>
    <w:p>
      <w:pPr>
        <w:spacing w:after="40" w:before="40"/>
      </w:pPr>
      <w:r>
        <w:rPr>
          <w:rFonts w:ascii="Times New Roman" w:cs="Times New Roman" w:eastAsia="Times New Roman" w:hAnsi="Times New Roman"/>
          <w:b/>
          <w:bCs/>
          <w:color w:val="444444"/>
          <w:sz w:val="18"/>
          <w:szCs w:val="18"/>
        </w:rPr>
        <w:t xml:space="preserve">13. </w:t>
      </w:r>
      <w:r>
        <w:rPr>
          <w:rFonts w:ascii="Times New Roman" w:cs="Times New Roman" w:eastAsia="Times New Roman" w:hAnsi="Times New Roman"/>
          <w:color w:val="444444"/>
          <w:sz w:val="18"/>
          <w:szCs w:val="18"/>
        </w:rPr>
        <w:t xml:space="preserve">Meijer, A. (2015). E-governance innovation: Barriers and strategies. Government Information Quarterly, 32(2), 198-206.</w:t>
      </w:r>
    </w:p>
    <w:p>
      <w:pPr>
        <w:spacing w:after="40" w:before="40"/>
      </w:pPr>
      <w:r>
        <w:rPr>
          <w:rFonts w:ascii="Times New Roman" w:cs="Times New Roman" w:eastAsia="Times New Roman" w:hAnsi="Times New Roman"/>
          <w:b/>
          <w:bCs/>
          <w:color w:val="444444"/>
          <w:sz w:val="18"/>
          <w:szCs w:val="18"/>
        </w:rPr>
        <w:t xml:space="preserve">14. </w:t>
      </w:r>
      <w:r>
        <w:rPr>
          <w:rFonts w:ascii="Times New Roman" w:cs="Times New Roman" w:eastAsia="Times New Roman" w:hAnsi="Times New Roman"/>
          <w:color w:val="444444"/>
          <w:sz w:val="18"/>
          <w:szCs w:val="18"/>
        </w:rPr>
        <w:t xml:space="preserve">Naser, A. y Concha, G. (2011). El gobierno electrónico en la gestión pública. CEPAL — Serie Gestión Pública No. 73.</w:t>
      </w:r>
    </w:p>
    <w:p>
      <w:pPr>
        <w:spacing w:after="40" w:before="40"/>
      </w:pPr>
      <w:r>
        <w:rPr>
          <w:rFonts w:ascii="Times New Roman" w:cs="Times New Roman" w:eastAsia="Times New Roman" w:hAnsi="Times New Roman"/>
          <w:b/>
          <w:bCs/>
          <w:color w:val="444444"/>
          <w:sz w:val="18"/>
          <w:szCs w:val="18"/>
        </w:rPr>
        <w:t xml:space="preserve">15. </w:t>
      </w:r>
      <w:r>
        <w:rPr>
          <w:rFonts w:ascii="Times New Roman" w:cs="Times New Roman" w:eastAsia="Times New Roman" w:hAnsi="Times New Roman"/>
          <w:color w:val="444444"/>
          <w:sz w:val="18"/>
          <w:szCs w:val="18"/>
        </w:rPr>
        <w:t xml:space="preserve">North, D. C. (1990). Institutions, institutional change and economic performance. Cambridge University Press.</w:t>
      </w:r>
    </w:p>
    <w:p>
      <w:pPr>
        <w:spacing w:after="40" w:before="40"/>
      </w:pPr>
      <w:r>
        <w:rPr>
          <w:rFonts w:ascii="Times New Roman" w:cs="Times New Roman" w:eastAsia="Times New Roman" w:hAnsi="Times New Roman"/>
          <w:b/>
          <w:bCs/>
          <w:color w:val="444444"/>
          <w:sz w:val="18"/>
          <w:szCs w:val="18"/>
        </w:rPr>
        <w:t xml:space="preserve">16. </w:t>
      </w:r>
      <w:r>
        <w:rPr>
          <w:rFonts w:ascii="Times New Roman" w:cs="Times New Roman" w:eastAsia="Times New Roman" w:hAnsi="Times New Roman"/>
          <w:color w:val="444444"/>
          <w:sz w:val="18"/>
          <w:szCs w:val="18"/>
        </w:rPr>
        <w:t xml:space="preserve">Ostrom, E. (1990). Governing the commons: The evolution of institutions for collective action. Cambridge University Press.</w:t>
      </w:r>
    </w:p>
    <w:p>
      <w:pPr>
        <w:spacing w:after="40" w:before="40"/>
      </w:pPr>
      <w:r>
        <w:rPr>
          <w:rFonts w:ascii="Times New Roman" w:cs="Times New Roman" w:eastAsia="Times New Roman" w:hAnsi="Times New Roman"/>
          <w:b/>
          <w:bCs/>
          <w:color w:val="444444"/>
          <w:sz w:val="18"/>
          <w:szCs w:val="18"/>
        </w:rPr>
        <w:t xml:space="preserve">17. </w:t>
      </w:r>
      <w:r>
        <w:rPr>
          <w:rFonts w:ascii="Times New Roman" w:cs="Times New Roman" w:eastAsia="Times New Roman" w:hAnsi="Times New Roman"/>
          <w:color w:val="444444"/>
          <w:sz w:val="18"/>
          <w:szCs w:val="18"/>
        </w:rPr>
        <w:t xml:space="preserve">Ottis, R. (2008). Analysis of the 2007 cyber attacks against Estonia from the information warfare perspective. Proceedings of the 7th European Conference on Information Warfare and Security, 163-168.</w:t>
      </w:r>
    </w:p>
    <w:p>
      <w:pPr>
        <w:spacing w:after="40" w:before="40"/>
      </w:pPr>
      <w:r>
        <w:rPr>
          <w:rFonts w:ascii="Times New Roman" w:cs="Times New Roman" w:eastAsia="Times New Roman" w:hAnsi="Times New Roman"/>
          <w:b/>
          <w:bCs/>
          <w:color w:val="444444"/>
          <w:sz w:val="18"/>
          <w:szCs w:val="18"/>
        </w:rPr>
        <w:t xml:space="preserve">18. </w:t>
      </w:r>
      <w:r>
        <w:rPr>
          <w:rFonts w:ascii="Times New Roman" w:cs="Times New Roman" w:eastAsia="Times New Roman" w:hAnsi="Times New Roman"/>
          <w:color w:val="444444"/>
          <w:sz w:val="18"/>
          <w:szCs w:val="18"/>
        </w:rPr>
        <w:t xml:space="preserve">Pevehouse, J. C. (2002). With a little help from my friends? Regional organizations and the consolidation of democracy. American Journal of Political Science, 46(3), 611-626.</w:t>
      </w:r>
    </w:p>
    <w:p>
      <w:pPr>
        <w:spacing w:after="40" w:before="40"/>
      </w:pPr>
      <w:r>
        <w:rPr>
          <w:rFonts w:ascii="Times New Roman" w:cs="Times New Roman" w:eastAsia="Times New Roman" w:hAnsi="Times New Roman"/>
          <w:b/>
          <w:bCs/>
          <w:color w:val="444444"/>
          <w:sz w:val="18"/>
          <w:szCs w:val="18"/>
        </w:rPr>
        <w:t xml:space="preserve">19. </w:t>
      </w:r>
      <w:r>
        <w:rPr>
          <w:rFonts w:ascii="Times New Roman" w:cs="Times New Roman" w:eastAsia="Times New Roman" w:hAnsi="Times New Roman"/>
          <w:color w:val="444444"/>
          <w:sz w:val="18"/>
          <w:szCs w:val="18"/>
        </w:rPr>
        <w:t xml:space="preserve">Putnam, R. D., Leonardi, R. y Nanetti, R. (1993). Making democracy work: Civic traditions in modern Italy. Princeton University Press.</w:t>
      </w:r>
    </w:p>
    <w:p>
      <w:pPr>
        <w:spacing w:after="40" w:before="40"/>
      </w:pPr>
      <w:r>
        <w:rPr>
          <w:rFonts w:ascii="Times New Roman" w:cs="Times New Roman" w:eastAsia="Times New Roman" w:hAnsi="Times New Roman"/>
          <w:b/>
          <w:bCs/>
          <w:color w:val="444444"/>
          <w:sz w:val="18"/>
          <w:szCs w:val="18"/>
        </w:rPr>
        <w:t xml:space="preserve">20. </w:t>
      </w:r>
      <w:r>
        <w:rPr>
          <w:rFonts w:ascii="Times New Roman" w:cs="Times New Roman" w:eastAsia="Times New Roman" w:hAnsi="Times New Roman"/>
          <w:color w:val="444444"/>
          <w:sz w:val="18"/>
          <w:szCs w:val="18"/>
        </w:rPr>
        <w:t xml:space="preserve">Ragin, C. (1987). The comparative method: Moving beyond qualitative and quantitative strategies. University of California Press.</w:t>
      </w:r>
    </w:p>
    <w:p>
      <w:pPr>
        <w:spacing w:after="40" w:before="40"/>
      </w:pPr>
      <w:r>
        <w:rPr>
          <w:rFonts w:ascii="Times New Roman" w:cs="Times New Roman" w:eastAsia="Times New Roman" w:hAnsi="Times New Roman"/>
          <w:b/>
          <w:bCs/>
          <w:color w:val="444444"/>
          <w:sz w:val="18"/>
          <w:szCs w:val="18"/>
        </w:rPr>
        <w:t xml:space="preserve">21. </w:t>
      </w:r>
      <w:r>
        <w:rPr>
          <w:rFonts w:ascii="Times New Roman" w:cs="Times New Roman" w:eastAsia="Times New Roman" w:hAnsi="Times New Roman"/>
          <w:color w:val="444444"/>
          <w:sz w:val="18"/>
          <w:szCs w:val="18"/>
        </w:rPr>
        <w:t xml:space="preserve">Relly, J. E. y Sabharwal, M. (2009). Perceptions of transparency of government policymaking: A cross-national study. Government Information Quarterly, 26(1), 148-157.</w:t>
      </w:r>
    </w:p>
    <w:p>
      <w:pPr>
        <w:spacing w:after="40" w:before="40"/>
      </w:pPr>
      <w:r>
        <w:rPr>
          <w:rFonts w:ascii="Times New Roman" w:cs="Times New Roman" w:eastAsia="Times New Roman" w:hAnsi="Times New Roman"/>
          <w:b/>
          <w:bCs/>
          <w:color w:val="444444"/>
          <w:sz w:val="18"/>
          <w:szCs w:val="18"/>
        </w:rPr>
        <w:t xml:space="preserve">22. </w:t>
      </w:r>
      <w:r>
        <w:rPr>
          <w:rFonts w:ascii="Times New Roman" w:cs="Times New Roman" w:eastAsia="Times New Roman" w:hAnsi="Times New Roman"/>
          <w:color w:val="444444"/>
          <w:sz w:val="18"/>
          <w:szCs w:val="18"/>
        </w:rPr>
        <w:t xml:space="preserve">RIA. (2023). Annual report 2022. Information System Authority of Estonia. https://www.ria.ee/en</w:t>
      </w:r>
    </w:p>
    <w:p>
      <w:pPr>
        <w:spacing w:after="40" w:before="40"/>
      </w:pPr>
      <w:r>
        <w:rPr>
          <w:rFonts w:ascii="Times New Roman" w:cs="Times New Roman" w:eastAsia="Times New Roman" w:hAnsi="Times New Roman"/>
          <w:b/>
          <w:bCs/>
          <w:color w:val="444444"/>
          <w:sz w:val="18"/>
          <w:szCs w:val="18"/>
        </w:rPr>
        <w:t xml:space="preserve">23. </w:t>
      </w:r>
      <w:r>
        <w:rPr>
          <w:rFonts w:ascii="Times New Roman" w:cs="Times New Roman" w:eastAsia="Times New Roman" w:hAnsi="Times New Roman"/>
          <w:color w:val="444444"/>
          <w:sz w:val="18"/>
          <w:szCs w:val="18"/>
        </w:rPr>
        <w:t xml:space="preserve">Rothstein, B. (2011). The quality of government: Corruption, social trust, and inequality in international perspective. University of Chicago Press.</w:t>
      </w:r>
    </w:p>
    <w:p>
      <w:pPr>
        <w:spacing w:after="40" w:before="40"/>
      </w:pPr>
      <w:r>
        <w:rPr>
          <w:rFonts w:ascii="Times New Roman" w:cs="Times New Roman" w:eastAsia="Times New Roman" w:hAnsi="Times New Roman"/>
          <w:b/>
          <w:bCs/>
          <w:color w:val="444444"/>
          <w:sz w:val="18"/>
          <w:szCs w:val="18"/>
        </w:rPr>
        <w:t xml:space="preserve">24. </w:t>
      </w:r>
      <w:r>
        <w:rPr>
          <w:rFonts w:ascii="Times New Roman" w:cs="Times New Roman" w:eastAsia="Times New Roman" w:hAnsi="Times New Roman"/>
          <w:color w:val="444444"/>
          <w:sz w:val="18"/>
          <w:szCs w:val="18"/>
        </w:rPr>
        <w:t xml:space="preserve">Sandoval-Almazán, R. y Gil-García, J. R. (2012). Are government internet portals evolving towards more interaction, participation, and collaboration? Revisiting the rhetoric of e-government among municipalities. Government Information Quarterly, 29(S1), S72-S81.</w:t>
      </w:r>
    </w:p>
    <w:p>
      <w:pPr>
        <w:spacing w:after="40" w:before="40"/>
      </w:pPr>
      <w:r>
        <w:rPr>
          <w:rFonts w:ascii="Times New Roman" w:cs="Times New Roman" w:eastAsia="Times New Roman" w:hAnsi="Times New Roman"/>
          <w:b/>
          <w:bCs/>
          <w:color w:val="444444"/>
          <w:sz w:val="18"/>
          <w:szCs w:val="18"/>
        </w:rPr>
        <w:t xml:space="preserve">25. </w:t>
      </w:r>
      <w:r>
        <w:rPr>
          <w:rFonts w:ascii="Times New Roman" w:cs="Times New Roman" w:eastAsia="Times New Roman" w:hAnsi="Times New Roman"/>
          <w:color w:val="444444"/>
          <w:sz w:val="18"/>
          <w:szCs w:val="18"/>
        </w:rPr>
        <w:t xml:space="preserve">Transparency International. (2024). Corruption Perceptions Index 2024. https://www.transparency.org/en/cpi/2024</w:t>
      </w:r>
    </w:p>
    <w:p>
      <w:pPr>
        <w:spacing w:after="40" w:before="40"/>
      </w:pPr>
      <w:r>
        <w:rPr>
          <w:rFonts w:ascii="Times New Roman" w:cs="Times New Roman" w:eastAsia="Times New Roman" w:hAnsi="Times New Roman"/>
          <w:b/>
          <w:bCs/>
          <w:color w:val="444444"/>
          <w:sz w:val="18"/>
          <w:szCs w:val="18"/>
        </w:rPr>
        <w:t xml:space="preserve">26. </w:t>
      </w:r>
      <w:r>
        <w:rPr>
          <w:rFonts w:ascii="Times New Roman" w:cs="Times New Roman" w:eastAsia="Times New Roman" w:hAnsi="Times New Roman"/>
          <w:color w:val="444444"/>
          <w:sz w:val="18"/>
          <w:szCs w:val="18"/>
        </w:rPr>
        <w:t xml:space="preserve">United Nations. (2024). UN e-government survey 2024. Department of Economic and Social Affairs. https://publicadministration.un.org</w:t>
      </w:r>
    </w:p>
    <w:p>
      <w:pPr>
        <w:spacing w:after="40" w:before="40"/>
      </w:pPr>
      <w:r>
        <w:rPr>
          <w:rFonts w:ascii="Times New Roman" w:cs="Times New Roman" w:eastAsia="Times New Roman" w:hAnsi="Times New Roman"/>
          <w:b/>
          <w:bCs/>
          <w:color w:val="444444"/>
          <w:sz w:val="18"/>
          <w:szCs w:val="18"/>
        </w:rPr>
        <w:t xml:space="preserve">27. </w:t>
      </w:r>
      <w:r>
        <w:rPr>
          <w:rFonts w:ascii="Times New Roman" w:cs="Times New Roman" w:eastAsia="Times New Roman" w:hAnsi="Times New Roman"/>
          <w:color w:val="444444"/>
          <w:sz w:val="18"/>
          <w:szCs w:val="18"/>
        </w:rPr>
        <w:t xml:space="preserve">UN Public Service Award. (2001). Recognition of the OPEN system of Seoul. United Nations Division for Public Administration and Development Management.</w:t>
      </w:r>
    </w:p>
    <w:p>
      <w:pPr>
        <w:spacing w:after="40" w:before="40"/>
      </w:pPr>
      <w:r>
        <w:rPr>
          <w:rFonts w:ascii="Times New Roman" w:cs="Times New Roman" w:eastAsia="Times New Roman" w:hAnsi="Times New Roman"/>
          <w:b/>
          <w:bCs/>
          <w:color w:val="444444"/>
          <w:sz w:val="18"/>
          <w:szCs w:val="18"/>
        </w:rPr>
        <w:t xml:space="preserve">28. </w:t>
      </w:r>
      <w:r>
        <w:rPr>
          <w:rFonts w:ascii="Times New Roman" w:cs="Times New Roman" w:eastAsia="Times New Roman" w:hAnsi="Times New Roman"/>
          <w:color w:val="444444"/>
          <w:sz w:val="18"/>
          <w:szCs w:val="18"/>
        </w:rPr>
        <w:t xml:space="preserve">Ministerio de Telecomunicaciones del Ecuador. (2026). Estrategia para el Fomento del Desarrollo y Uso Ético y Responsable de la Inteligencia Artificial en Ecuador (EFIA-EC). Registro Oficial, 19 de enero de 2026. https://www.telecomunicaciones.gob.ec</w:t>
      </w:r>
    </w:p>
    <w:p>
      <w:pPr>
        <w:spacing w:after="40" w:before="40"/>
      </w:pPr>
      <w:r>
        <w:rPr>
          <w:rFonts w:ascii="Times New Roman" w:cs="Times New Roman" w:eastAsia="Times New Roman" w:hAnsi="Times New Roman"/>
          <w:b/>
          <w:bCs/>
          <w:color w:val="444444"/>
          <w:sz w:val="18"/>
          <w:szCs w:val="18"/>
        </w:rPr>
        <w:t xml:space="preserve">29. </w:t>
      </w:r>
      <w:r>
        <w:rPr>
          <w:rFonts w:ascii="Times New Roman" w:cs="Times New Roman" w:eastAsia="Times New Roman" w:hAnsi="Times New Roman"/>
          <w:color w:val="444444"/>
          <w:sz w:val="18"/>
          <w:szCs w:val="18"/>
        </w:rPr>
        <w:t xml:space="preserve">Vassil, K. (2016). Estonian e-government ecosystem: Foundation, applications, outcomes. Background paper, World Development Report 2016: Digital Dividends. World Bank.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before="120"/>
      <w:jc w:val="center"/>
    </w:pP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120" w:before="0"/>
      <w:jc w:val="right"/>
    </w:pPr>
    <w:r>
      <w:rPr>
        <w:rFonts w:ascii="Times New Roman" w:cs="Times New Roman" w:eastAsia="Times New Roman" w:hAnsi="Times New Roman"/>
        <w:i/>
        <w:iCs/>
        <w:color w:val="666666"/>
        <w:sz w:val="17"/>
        <w:szCs w:val="17"/>
      </w:rPr>
      <w:t xml:space="preserve">Loor Anchundia, A.M. — Sistemas anticorrupción digitales: análisis comparado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aps/>
      <w:color w:val="0D1F3C"/>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0D1F3C"/>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2026-03-15T05:24:16.764Z</dcterms:created>
  <dcterms:modified xsi:type="dcterms:W3CDTF">2026-03-15T05:24:16.765Z</dcterms:modified>
</cp:coreProperties>
</file>

<file path=docProps/custom.xml><?xml version="1.0" encoding="utf-8"?>
<Properties xmlns="http://schemas.openxmlformats.org/officeDocument/2006/custom-properties" xmlns:vt="http://schemas.openxmlformats.org/officeDocument/2006/docPropsVTypes"/>
</file>